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12862</w:t>
        <w:t xml:space="preserve">.  </w:t>
      </w:r>
      <w:r>
        <w:rPr>
          <w:b/>
        </w:rPr>
        <w:t xml:space="preserve">Retrieval of wounded or killed bear, deer or moose after hours</w:t>
      </w:r>
    </w:p>
    <w:p>
      <w:pPr>
        <w:jc w:val="both"/>
        <w:spacing w:before="100" w:after="100"/>
        <w:ind w:start="360"/>
        <w:ind w:firstLine="360"/>
      </w:pPr>
      <w:r>
        <w:rPr/>
      </w:r>
      <w:r>
        <w:rPr/>
      </w:r>
      <w:r>
        <w:t xml:space="preserve">Notwithstanding </w:t>
      </w:r>
      <w:r>
        <w:t>sections 11205</w:t>
      </w:r>
      <w:r>
        <w:t xml:space="preserve">, </w:t>
      </w:r>
      <w:r>
        <w:t>11206</w:t>
      </w:r>
      <w:r>
        <w:t xml:space="preserve"> and </w:t>
      </w:r>
      <w:r>
        <w:t>11111</w:t>
      </w:r>
      <w:r>
        <w:t xml:space="preserve">, the commissioner may authorize a person licensed to guide hunters under </w:t>
      </w:r>
      <w:r>
        <w:t>section 12853</w:t>
      </w:r>
      <w:r>
        <w:t xml:space="preserve"> whose client during a guided hunt wounds or kills a bear, deer or moose to track and dispatch that animal outside of legal hunting hours. A licensed guide authorized to track a wounded animal pursuant to this section may use one leashed dog for tracking purposes.  The commissioner may place conditions and restrictions on tracking activities conducted pursuant to this section to ensure its proper administration and the humane treatment of a wounded animal.</w:t>
      </w:r>
      <w:r>
        <w:t xml:space="preserve">  </w:t>
      </w:r>
      <w:r xmlns:wp="http://schemas.openxmlformats.org/drawingml/2010/wordprocessingDrawing" xmlns:w15="http://schemas.microsoft.com/office/word/2012/wordml">
        <w:rPr>
          <w:rFonts w:ascii="Arial" w:hAnsi="Arial" w:cs="Arial"/>
          <w:sz w:val="22"/>
          <w:szCs w:val="22"/>
        </w:rPr>
        <w:t xml:space="preserve">[PL 2015, c. 90,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§12862. Retrieval of wounded or killed bear, deer or moose after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§12862. Retrieval of wounded or killed bear, deer or moose after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§12862. RETRIEVAL OF WOUNDED OR KILLED BEAR, DEER OR MOOSE AFTER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