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12754</w:t>
        <w:t xml:space="preserve">.  </w:t>
      </w:r>
      <w:r>
        <w:rPr>
          <w:b/>
        </w:rPr>
        <w:t xml:space="preserve">Fish spawning areas</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commissioner may by rule, pursuant to </w:t>
      </w:r>
      <w:r>
        <w:t>section 10104, subsection 1</w:t>
      </w:r>
      <w:r>
        <w:t xml:space="preserve">, designate any inland waters of the State as fish spawning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Hearing.</w:t>
        <w:t xml:space="preserve"> </w:t>
      </w:r>
      <w:r>
        <w:t xml:space="preserve"> </w:t>
      </w:r>
      <w:r>
        <w:t xml:space="preserve">The commissioner shall institute a public hearing, in conformity with the Maine Administrative Procedure Act, if so requested by any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§12754. Fish spawning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§12754. Fish spawning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§12754. FISH SPAWNING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