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Rule violations;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§12702. RULE VIOLATIONS;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