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12660</w:t>
        <w:t xml:space="preserve">.  </w:t>
      </w:r>
      <w:r>
        <w:rPr>
          <w:b/>
        </w:rPr>
        <w:t xml:space="preserve">Antifreeze agents</w:t>
      </w:r>
    </w:p>
    <w:p>
      <w:pPr>
        <w:jc w:val="both"/>
        <w:spacing w:before="100" w:after="100"/>
        <w:ind w:start="360"/>
        <w:ind w:firstLine="360"/>
      </w:pPr>
      <w:r>
        <w:rPr/>
      </w:r>
      <w:r>
        <w:rPr/>
      </w:r>
      <w:r>
        <w:t xml:space="preserve">Adding substances containing ethylene glycol or other antifreeze agents to the waters of this State is a violation of </w:t>
      </w:r>
      <w:r>
        <w:t>Title 38, 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§12660. Antifreeze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§12660. Antifreeze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§12660. ANTIFREEZE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