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12259</w:t>
        <w:t xml:space="preserve">.  </w:t>
      </w:r>
      <w:r>
        <w:rPr>
          <w:b/>
        </w:rPr>
        <w:t xml:space="preserve">Trapping beaver</w:t>
      </w:r>
    </w:p>
    <w:p>
      <w:pPr>
        <w:jc w:val="both"/>
        <w:spacing w:before="100" w:after="0"/>
        <w:ind w:start="360"/>
        <w:ind w:firstLine="360"/>
      </w:pPr>
      <w:r>
        <w:rPr>
          <w:b/>
        </w:rPr>
        <w:t>1</w:t>
        <w:t xml:space="preserve">.  </w:t>
      </w:r>
      <w:r>
        <w:rPr>
          <w:b/>
        </w:rPr>
        <w:t xml:space="preserve">Snares.</w:t>
        <w:t xml:space="preserve"> </w:t>
      </w:r>
      <w:r>
        <w:t xml:space="preserve"> </w:t>
      </w:r>
      <w:r>
        <w:t xml:space="preserve">A person may use snares to trap for beaver during the open beaver trapping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All rules adopted pursuant to </w:t>
      </w:r>
      <w:r>
        <w:t>section 10104, subsection 1</w:t>
      </w:r>
      <w:r>
        <w:t xml:space="preserve"> pertaining to the trapping of beaver with killer-type traps also apply to the trapping of beaver with snares.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Nonresident trapping beaver.</w:t>
        <w:t xml:space="preserve"> </w:t>
      </w:r>
      <w:r>
        <w:t xml:space="preserve"> </w:t>
      </w:r>
      <w:r>
        <w:t xml:space="preserve">A nonresident may not trap beaver in this State unless that nonresident's state or province of residency allows Maine residents to trap beaver in that state or province.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§B221 (AMD). PL 2003, c. 655, §B422 (AFF). PL 2011, c. 253,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§12259. Trapping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§12259. Trapping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§12259. TRAPPING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