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11211</w:t>
        <w:t xml:space="preserve">.  </w:t>
      </w:r>
      <w:r>
        <w:rPr>
          <w:b/>
        </w:rPr>
        <w:t xml:space="preserve">Unlawful use of firearm in Southport</w:t>
      </w:r>
    </w:p>
    <w:p>
      <w:pPr>
        <w:jc w:val="both"/>
        <w:spacing w:before="100" w:after="0"/>
        <w:ind w:start="360"/>
        <w:ind w:firstLine="360"/>
      </w:pPr>
      <w:r>
        <w:rPr>
          <w:b/>
        </w:rPr>
        <w:t>1</w:t>
        <w:t xml:space="preserve">.  </w:t>
      </w:r>
      <w:r>
        <w:rPr>
          <w:b/>
        </w:rPr>
        <w:t xml:space="preserve">Prohibited act.</w:t>
        <w:t xml:space="preserve"> </w:t>
      </w:r>
      <w:r>
        <w:t xml:space="preserve"> </w:t>
      </w:r>
      <w:r>
        <w:t xml:space="preserve">A person may not use any firearm other than a shotgun in the Town of Southport or the islands within the confines of the Town of Southport.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§141 (NEW); PL 2003, c. 655, Pt. B, §422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463, §5 (AMD).]</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§141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§B141 (RPR). PL 2003, c. 655, §B422 (AFF). PL 2007, c. 463,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§11211. Unlawful use of firearm in Southport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§11211. Unlawful use of firearm in Southport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§11211. UNLAWFUL USE OF FIREARM IN SOUTHPORT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