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§11153. Special season deer permits;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§11153. Special season deer permits;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§11153. SPECIAL SEASON DEER PERMITS;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