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10604</w:t>
        <w:t xml:space="preserve">.  </w:t>
      </w:r>
      <w:r>
        <w:rPr>
          <w:b/>
        </w:rPr>
        <w:t xml:space="preserve">Conviction record of habitual violator</w:t>
      </w:r>
    </w:p>
    <w:p>
      <w:pPr>
        <w:jc w:val="both"/>
        <w:spacing w:before="100" w:after="100"/>
        <w:ind w:start="360"/>
        <w:ind w:firstLine="360"/>
      </w:pPr>
      <w:r>
        <w:rPr/>
      </w:r>
      <w:r>
        <w:rPr/>
      </w:r>
      <w:r>
        <w:t xml:space="preserve">A certificate, signed by the commissioner or a person designated by the commissioner, setting forth the conviction record as maintained by the department of any person whose record brings that person within the definition of an habitual violator, as defined in </w:t>
      </w:r>
      <w:r>
        <w:t>section 10605, subsection 1</w:t>
      </w:r>
      <w:r>
        <w:t xml:space="preserve">, is admissible in evidence in all courts of the State for purposes of sentencing.  That certificate is prima facie evidence that the person named in the certificate was duly convicted by the court in which that conviction was made of each offense set forth in the certificate.  If the person named in the certificate denies any of the facts stated in the certificate, that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§10604. Conviction record of habitual violator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§10604. Conviction record of habitual violator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§10604. CONVICTION RECORD OF HABITUAL VIOLATOR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