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GENERAL DEPARTMENT ACTIVITIES</w:t>
      </w:r>
    </w:p>
    <w:p>
      <w:pPr>
        <w:jc w:val="center"/>
        <w:ind w:start="360"/>
        <w:spacing w:before="300" w:after="300"/>
      </w:pPr>
      <w:r>
        <w:rPr>
          <w:b/>
        </w:rPr>
        <w:t>SUBCHAPTER</w:t>
        <w:t xml:space="preserve"> </w:t>
        <w:t>1</w:t>
      </w:r>
    </w:p>
    <w:p>
      <w:pPr>
        <w:jc w:val="center"/>
        <w:ind w:start="360"/>
        <w:spacing w:before="300" w:after="300"/>
      </w:pPr>
      <w:r>
        <w:rPr>
          <w:b/>
        </w:rPr>
        <w:t xml:space="preserve">GENERAL ACTIVITIES</w:t>
      </w:r>
    </w:p>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jc w:val="center"/>
        <w:ind w:start="360"/>
        <w:spacing w:before="300" w:after="300"/>
      </w:pPr>
      <w:r>
        <w:rPr>
          <w:b/>
        </w:rPr>
        <w:t>SUBCHAPTER</w:t>
        <w:t xml:space="preserve"> </w:t>
        <w:t>2</w:t>
      </w:r>
    </w:p>
    <w:p>
      <w:pPr>
        <w:jc w:val="center"/>
        <w:ind w:start="360"/>
        <w:spacing w:before="300" w:after="300"/>
      </w:pPr>
      <w:r>
        <w:rPr>
          <w:b/>
        </w:rPr>
        <w:t xml:space="preserve">LEASES AND SPECIAL LICENSES</w:t>
      </w:r>
    </w:p>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paragraphs B</w:t>
      </w:r>
      <w:r>
        <w:t xml:space="preserve"> and </w:t>
      </w:r>
      <w:r>
        <w:t>B‑1</w:t>
      </w:r>
      <w:r>
        <w:t xml:space="preserve"> and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A person operating a facility in the coastal waters of the State, on or before the effective date of this subsection, for the culture of finfish in nets, pens or other enclosures or for the suspended culture of shellfish that is not leased under this section must register the facility with the commissioner on or before January 1, 1992 on a form specified by the commissioner.  A person registering under this paragraph must submit a completed lease application on or before July 1, 1992.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B-1</w:t>
        <w:t xml:space="preserve">.  </w:t>
      </w:r>
      <w:r>
        <w:rPr/>
      </w:r>
      <w:r>
        <w:t xml:space="preserve">A person operating a facility in the coastal waters of the State for the suspended culture of a marine organism other than shellfish that is not leased under this section must register the facility with the commissioner on or before January 1, 1994 on a form specified by the commissioner.  A person registering under this paragraph must submit a completed lease application on or before July 1, 1994.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C</w:t>
        <w:t xml:space="preserve">.  </w:t>
      </w:r>
      <w:r>
        <w:rPr/>
      </w:r>
      <w:r>
        <w:t xml:space="preserve">The commissioner may not consider an application for a lease under this section on an area registered under </w:t>
      </w:r>
      <w:r>
        <w:t>paragraph B</w:t>
      </w:r>
      <w:r>
        <w:t xml:space="preserve"> or </w:t>
      </w:r>
      <w:r>
        <w:t>B‑1</w:t>
      </w:r>
      <w:r>
        <w:t xml:space="preserve"> from a person other than the registrant prior to rendering a final decision on any application submitted by a registrant under </w:t>
      </w:r>
      <w:r>
        <w:t>paragraph B</w:t>
      </w:r>
      <w:r>
        <w:t xml:space="preserve"> or </w:t>
      </w:r>
      <w:r>
        <w:t>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the financial and technical capability to carry out the proposed activities. When the commissioner has determined that the application is complete, the commissioner shall forward a copy of the completed application and notice of hearing to the known riparian owners within 1,000 feet of the proposed lease and to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591, §1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Under the provisions of </w:t>
      </w:r>
      <w:r>
        <w:t>Title 5, section 9052</w:t>
      </w:r>
      <w:r>
        <w:t xml:space="preserve">, the leasing procedure must require notice to the general public.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 §2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p>
    <w:p>
      <w:pPr>
        <w:jc w:val="both"/>
        <w:spacing w:before="100" w:after="0"/>
        <w:ind w:start="720"/>
      </w:pPr>
      <w:r>
        <w:rPr/>
      </w:r>
      <w:r>
        <w:rPr/>
      </w:r>
      <w:r>
        <w:t xml:space="preserve">The Department of Agriculture, Conservation and Forestry shall maintain a list of conserved lands.  The commissioner shall request this information from the Department of Agriculture, Conservation and Forestry prior to holding a preapplication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655, Pt. II, §4 (AMD); PL 2011, c. 655, Pt. II, §11 (AFF); PL 2011, c. 657, Pt. W, §5 (REV).]</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§4 (AMD); PL 2011, c. 655, Pt. II, §11 (AFF); PL 2011, c. 657, Pt. W, §5 (REV).]</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section 6072‑A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within 30 days of receipt of notice or within 30 days of publication of the proposed renewal. A hearing must be held if it is requested in writing by 5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14 days.</w:t>
      </w:r>
      <w:r>
        <w:t xml:space="preserve">  </w:t>
      </w:r>
      <w:r xmlns:wp="http://schemas.openxmlformats.org/drawingml/2010/wordprocessingDrawing" xmlns:w15="http://schemas.microsoft.com/office/word/2012/wordml">
        <w:rPr>
          <w:rFonts w:ascii="Arial" w:hAnsi="Arial" w:cs="Arial"/>
          <w:sz w:val="22"/>
          <w:szCs w:val="22"/>
        </w:rPr>
        <w:t xml:space="preserve">[PL 2009, c. 229, §2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§28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or revoke leases;</w:t>
      </w:r>
      <w:r>
        <w:t xml:space="preserve">  </w:t>
      </w:r>
      <w:r xmlns:wp="http://schemas.openxmlformats.org/drawingml/2010/wordprocessingDrawing" xmlns:w15="http://schemas.microsoft.com/office/word/2012/wordml">
        <w:rPr>
          <w:rFonts w:ascii="Arial" w:hAnsi="Arial" w:cs="Arial"/>
          <w:sz w:val="22"/>
          <w:szCs w:val="22"/>
        </w:rPr>
        <w:t xml:space="preserve">[PL 2017, c. 159, §5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w:t>
      </w:r>
    </w:p>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riparian landowners within 1,000 feet of the proposed location of the lease.  The names and addresses must be taken from the current property tax roster on file at the local municipal office or with the Department of Administrative and Financial Services, Bureau of Revenue Services for an unorganized territory.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within 30 days of receipt of notice or within 30 days of publication of a limited-purpose lease summary, to the commissioner comments on the proposed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§10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5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25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 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§5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w:t>
      </w:r>
    </w:p>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jc w:val="both"/>
        <w:spacing w:before="100" w:after="100"/>
        <w:ind w:start="1080" w:hanging="720"/>
      </w:pPr>
      <w:r>
        <w:rPr>
          <w:b/>
        </w:rPr>
        <w:t>§</w:t>
        <w:t>6072-C</w:t>
        <w:t xml:space="preserve">.  </w:t>
      </w:r>
      <w:r>
        <w:rPr>
          <w:b/>
        </w:rPr>
        <w:t xml:space="preserve">Limited-purpose aquaculture license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(TEXT EFFECTIVE UNTIL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The license also authorizes unlicensed individuals to assist the license holder in the licensed activities with the written permission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100"/>
        <w:ind w:start="360"/>
        <w:ind w:firstLine="360"/>
      </w:pPr>
      <w:r>
        <w:rPr>
          <w:b/>
        </w:rPr>
        <w:t>2</w:t>
        <w:t xml:space="preserve">.  </w:t>
      </w:r>
      <w:r>
        <w:rPr>
          <w:b/>
        </w:rPr>
        <w:t>(TEXT EFFECTIVE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(TEXT EFFECTIVE 1/01/25)</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Monitoring, Research and Development Fund, referred to in this section as "the fund," is established.  In addition to the fees derived pursuant to rules adopted under </w:t>
      </w:r>
      <w:r>
        <w:t>subsection 6</w:t>
      </w:r>
      <w:r>
        <w:t xml:space="preserve">, the commissioner may receive on behalf of the fund funds from any source.  All income received by the commissioner under this section must be deposited with the Treasurer of State, tracked according to its source and credited to the fund.  Any balance remaining in the fund at the end of a fiscal year does not lapse but must be carried forward to the next fiscal year.  Any interest earned on assets of the fund is credited to the fund.  All records related to harvests submitted by aquaculture lease holders are considered proprietary information for the purposes of </w:t>
      </w:r>
      <w:r>
        <w:t>section 6077,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§6 (AMD).]</w:t>
      </w:r>
    </w:p>
    <w:p>
      <w:pPr>
        <w:jc w:val="both"/>
        <w:spacing w:before="100" w:after="10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§7 (RP).]</w:t>
      </w:r>
    </w:p>
    <w:p>
      <w:pPr>
        <w:jc w:val="both"/>
        <w:spacing w:before="100" w:after="0"/>
        <w:ind w:start="360"/>
        <w:ind w:firstLine="360"/>
      </w:pPr>
      <w:r>
        <w:rPr>
          <w:b/>
        </w:rPr>
        <w:t>3</w:t>
        <w:t xml:space="preserve">.  </w:t>
      </w:r>
      <w:r>
        <w:rPr>
          <w:b/>
        </w:rPr>
        <w:t xml:space="preserve">Expenditures; purpose.</w:t>
        <w:t xml:space="preserve"> </w:t>
      </w:r>
      <w:r>
        <w:t xml:space="preserve"> </w:t>
      </w:r>
      <w:r>
        <w:t xml:space="preserve">The commissioner may make expenditures from the fund to develop effective and cost-efficient water quality licensing and monitoring criteria, analyze and evaluate monitoring data and process lease applications.  The commissioner shall expend the fund amounts in proportion to the amounts of revenue from finfish sources and shellfish sources.   The commissioner may contract for services privately or under memoranda of agreement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§18 (AMD).]</w:t>
      </w:r>
    </w:p>
    <w:p>
      <w:pPr>
        <w:jc w:val="both"/>
        <w:spacing w:before="100" w:after="100"/>
        <w:ind w:start="360"/>
        <w:ind w:firstLine="360"/>
      </w:pPr>
      <w:r>
        <w:rPr>
          <w:b/>
        </w:rPr>
        <w:t>4</w:t>
        <w:t xml:space="preserve">.  </w:t>
      </w:r>
      <w:r>
        <w:rPr>
          <w:b/>
        </w:rPr>
        <w:t xml:space="preserve">Additional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§8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§8 (RP).]</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pursuant to this section only after consultation with the aquaculture industry that clearly establish the recommended framework for lease rents, application fees and production fees as well as the related personnel or contracting costs funded by the recommended fee increases.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w:t>
      </w:r>
    </w:p>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jc w:val="both"/>
        <w:spacing w:before="100" w:after="100"/>
        <w:ind w:start="1080" w:hanging="720"/>
      </w:pPr>
      <w:r>
        <w:rPr>
          <w:b/>
        </w:rPr>
        <w:t>§</w:t>
        <w:t>6080</w:t>
        <w:t xml:space="preserve">.  </w:t>
      </w:r>
      <w:r>
        <w:rPr>
          <w:b/>
        </w:rPr>
        <w:t xml:space="preserve">Aquaculture Advisory Council</w:t>
      </w:r>
    </w:p>
    <w:p>
      <w:pPr>
        <w:jc w:val="both"/>
        <w:spacing w:before="100" w:after="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5 members.  The commissioner or the commissioner's designee is a nonvoting, ex officio member of the council.  The commissioner shall appoint 4 members from the State's aquaculture industry.  No more than 2 of the appointed members may represent similar segments of the State's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 expenditures from the Aquaculture Management Fund for the purposes described under </w:t>
      </w:r>
      <w:r>
        <w:t>section 6072‑D</w:t>
      </w:r>
      <w:r>
        <w:t xml:space="preserve"> and concerning other matters of interest to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annually shall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It may also meet at other times at the call of the chair or the chair's designee or the commissioner or the commissioner's designee.  The council may conduct a meeting by means of a conference call linking 2 or more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w:t>
      </w:r>
    </w:p>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jc w:val="center"/>
        <w:ind w:start="360"/>
        <w:spacing w:before="300" w:after="300"/>
      </w:pPr>
      <w:r>
        <w:rPr>
          <w:b/>
        </w:rPr>
        <w:t>SUBCHAPTER</w:t>
        <w:t xml:space="preserve"> </w:t>
        <w:t>3</w:t>
      </w:r>
    </w:p>
    <w:p>
      <w:pPr>
        <w:jc w:val="center"/>
        <w:ind w:start="360"/>
        <w:spacing w:before="300" w:after="300"/>
      </w:pPr>
      <w:r>
        <w:rPr>
          <w:b/>
        </w:rPr>
        <w:t xml:space="preserve">INSPECTION AND QUALITY CONTROL</w:t>
      </w:r>
    </w:p>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jc w:val="center"/>
        <w:ind w:start="360"/>
        <w:spacing w:before="300" w:after="300"/>
      </w:pPr>
      <w:r>
        <w:rPr>
          <w:b/>
        </w:rPr>
        <w:t>SUBCHAPTER</w:t>
        <w:t xml:space="preserve"> </w:t>
        <w:t>3-A</w:t>
      </w:r>
    </w:p>
    <w:p>
      <w:pPr>
        <w:jc w:val="center"/>
        <w:ind w:start="360"/>
        <w:spacing w:before="300" w:after="300"/>
      </w:pPr>
      <w:r>
        <w:rPr>
          <w:b/>
        </w:rPr>
        <w:t xml:space="preserve">SURIMI OR SURIMI PRODUCTS</w:t>
      </w:r>
    </w:p>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FISHWAYS</w:t>
      </w:r>
    </w:p>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jc w:val="center"/>
        <w:ind w:start="360"/>
        <w:spacing w:before="300" w:after="300"/>
      </w:pPr>
      <w:r>
        <w:rPr>
          <w:b/>
        </w:rPr>
        <w:t>SUBCHAPTER</w:t>
        <w:t xml:space="preserve"> </w:t>
        <w:t>5</w:t>
      </w:r>
    </w:p>
    <w:p>
      <w:pPr>
        <w:jc w:val="center"/>
        <w:ind w:start="360"/>
        <w:spacing w:before="300" w:after="300"/>
      </w:pPr>
      <w:r>
        <w:rPr>
          <w:b/>
        </w:rPr>
        <w:t xml:space="preserve">MISCELLANEOUS ACTIVITIES</w:t>
      </w:r>
    </w:p>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605. GENERAL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GENERAL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605. GENERAL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