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9-1627</w:t>
        <w:t xml:space="preserve">.  </w:t>
      </w:r>
      <w:r>
        <w:rPr>
          <w:b/>
        </w:rPr>
        <w:t xml:space="preserve">Determination of whether conduct was commercially reasonable</w:t>
      </w:r>
    </w:p>
    <w:p>
      <w:pPr>
        <w:jc w:val="both"/>
        <w:spacing w:before="100" w:after="0"/>
        <w:ind w:start="360"/>
        <w:ind w:firstLine="360"/>
      </w:pPr>
      <w:r>
        <w:rPr>
          <w:b/>
        </w:rPr>
        <w:t>(1)</w:t>
        <w:t xml:space="preserve">.  </w:t>
      </w:r>
      <w:r>
        <w:rPr>
          <w:b/>
        </w:rPr>
      </w:r>
      <w:r>
        <w:t xml:space="preserve"> </w:t>
      </w:r>
      <w:r>
        <w:t xml:space="preserve">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disposition of collateral is made in a commercially reasonable manner if the disposition is made:</w:t>
      </w:r>
    </w:p>
    <w:p>
      <w:pPr>
        <w:jc w:val="both"/>
        <w:spacing w:before="100" w:after="0"/>
        <w:ind w:start="720"/>
      </w:pPr>
      <w:r>
        <w:rPr/>
        <w:t>(a)</w:t>
        <w:t xml:space="preserve">.  </w:t>
      </w:r>
      <w:r>
        <w:rPr/>
      </w:r>
      <w:r>
        <w:t xml:space="preserve">In the usual manner on any recognized market;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At the price current in any recognized market at the time of the disposition;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Otherwise in conformity with reasonable commercial practices among dealers in the type of property that was the subject of the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collection, enforcement, disposition or acceptance is commercially reasonable if it has been approved:</w:t>
      </w:r>
    </w:p>
    <w:p>
      <w:pPr>
        <w:jc w:val="both"/>
        <w:spacing w:before="100" w:after="0"/>
        <w:ind w:start="720"/>
      </w:pPr>
      <w:r>
        <w:rPr/>
        <w:t>(a)</w:t>
        <w:t xml:space="preserve">.  </w:t>
      </w:r>
      <w:r>
        <w:rPr/>
      </w:r>
      <w:r>
        <w:t xml:space="preserve">In a judicial proceeding;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By a bona fide creditors' committee;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By a representative of creditors;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By an assignee for the benefit of creditors.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Approval under </w:t>
      </w:r>
      <w:r>
        <w:t>subsection (3)</w:t>
      </w:r>
      <w:r>
        <w:t xml:space="preserve"> need not be obtained, and lack of approval does not mean that the collection, enforcement, disposition or acceptance is not commercially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§9-1627. Determination of whether conduct was commercially reasonable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§9-1627. Determination of whether conduct was commercially reasonable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§9-1627. DETERMINATION OF WHETHER CONDUCT WAS COMMERCIALLY REASONABLE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