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9-1507</w:t>
        <w:t xml:space="preserve">.  </w:t>
      </w:r>
      <w:r>
        <w:rPr>
          <w:b/>
        </w:rPr>
        <w:t xml:space="preserve">Effect of certain events on effectiveness of financing statement</w:t>
      </w:r>
    </w:p>
    <w:p>
      <w:pPr>
        <w:jc w:val="both"/>
        <w:spacing w:before="100" w:after="0"/>
        <w:ind w:start="360"/>
        <w:ind w:firstLine="360"/>
      </w:pPr>
      <w:r>
        <w:rPr>
          <w:b/>
        </w:rPr>
        <w:t>(1)</w:t>
        <w:t xml:space="preserve">.  </w:t>
      </w:r>
      <w:r>
        <w:rPr>
          <w:b/>
        </w:rPr>
      </w:r>
      <w:r>
        <w:t xml:space="preserve"> </w:t>
      </w:r>
      <w:r>
        <w:t xml:space="preserve">A filed financing statement remains effective with respect to collateral that is sold, exchanged, leased, licensed or otherwise disposed of and in which a security interest or agricultural lien continues, even if the secured party knows of or consents to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Except as otherwise provided in </w:t>
      </w:r>
      <w:r>
        <w:t>subsection (3)</w:t>
      </w:r>
      <w:r>
        <w:t xml:space="preserve"> and </w:t>
      </w:r>
      <w:r>
        <w:t>section 9‑1508</w:t>
      </w:r>
      <w:r>
        <w:t xml:space="preserve">, a financing statement is not rendered ineffective if, after the financing statement is filed, the information provided in the financing statement becomes seriously misleading under </w:t>
      </w:r>
      <w:r>
        <w:t>section 9‑1506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If the name that a filed financing statement provides for a debtor becomes insufficient as the name of the debtor under </w:t>
      </w:r>
      <w:r>
        <w:t>section 9‑1503, subsection (1)</w:t>
      </w:r>
      <w:r>
        <w:t xml:space="preserve"> so that the financing statement becomes seriously misleading under </w:t>
      </w:r>
      <w:r>
        <w:t>section 9‑1506</w:t>
      </w:r>
      <w:r>
        <w:t xml:space="preserve">:</w:t>
      </w:r>
    </w:p>
    <w:p>
      <w:pPr>
        <w:jc w:val="both"/>
        <w:spacing w:before="100" w:after="0"/>
        <w:ind w:start="720"/>
      </w:pPr>
      <w:r>
        <w:rPr/>
        <w:t>(a)</w:t>
        <w:t xml:space="preserve">.  </w:t>
      </w:r>
      <w:r>
        <w:rPr/>
      </w:r>
      <w:r>
        <w:t xml:space="preserve">The financing statement is effective to perfect a security interest in collateral acquired by the debtor before, or within 4 months after, the filed financing statement becomes seriously misleading; and</w:t>
      </w:r>
      <w:r>
        <w:t xml:space="preserve">  </w:t>
      </w:r>
      <w:r xmlns:wp="http://schemas.openxmlformats.org/drawingml/2010/wordprocessingDrawing" xmlns:w15="http://schemas.microsoft.com/office/word/2012/wordml">
        <w:rPr>
          <w:rFonts w:ascii="Arial" w:hAnsi="Arial" w:cs="Arial"/>
          <w:sz w:val="22"/>
          <w:szCs w:val="22"/>
        </w:rPr>
        <w:t xml:space="preserve">[PL 2013, c. 317, Pt. A, §22 (NEW).]</w:t>
      </w:r>
    </w:p>
    <w:p>
      <w:pPr>
        <w:jc w:val="both"/>
        <w:spacing w:before="100" w:after="0"/>
        <w:ind w:start="720"/>
      </w:pPr>
      <w:r>
        <w:rPr/>
        <w:t>(b)</w:t>
        <w:t xml:space="preserve">.  </w:t>
      </w:r>
      <w:r>
        <w:rPr/>
      </w:r>
      <w:r>
        <w:t xml:space="preserve">The financing statement is not effective to perfect a security interest in collateral acquired by the debtor more than 4 months after the filed financing statement becomes seriously misleading, unless an amendment to the financing statement that renders the financing statement not seriously misleading is filed within 4 months after the financing statement became seriously misleading.</w:t>
      </w:r>
      <w:r>
        <w:t xml:space="preserve">  </w:t>
      </w:r>
      <w:r xmlns:wp="http://schemas.openxmlformats.org/drawingml/2010/wordprocessingDrawing" xmlns:w15="http://schemas.microsoft.com/office/word/2012/wordml">
        <w:rPr>
          <w:rFonts w:ascii="Arial" w:hAnsi="Arial" w:cs="Arial"/>
          <w:sz w:val="22"/>
          <w:szCs w:val="22"/>
        </w:rPr>
        <w:t xml:space="preserve">[PL 2013, c. 317, Pt. A, §22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317, Pt. A, §22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PL 2013, c. 317, Pt. A,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§9-1507. Effect of certain events on effectiveness of financing statement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§9-1507. Effect of certain events on effectiveness of financing statement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§9-1507. EFFECT OF CERTAIN EVENTS ON EFFECTIVENESS OF FINANCING STATEMENT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