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9-1504</w:t>
        <w:t xml:space="preserve">.  </w:t>
      </w:r>
      <w:r>
        <w:rPr>
          <w:b/>
        </w:rPr>
        <w:t xml:space="preserve">Indication of collateral</w:t>
      </w:r>
    </w:p>
    <w:p>
      <w:pPr>
        <w:jc w:val="both"/>
        <w:spacing w:before="100" w:after="100"/>
        <w:ind w:start="360"/>
        <w:ind w:firstLine="360"/>
      </w:pPr>
      <w:r>
        <w:rPr/>
      </w:r>
      <w:r>
        <w:rPr/>
      </w:r>
      <w:r>
        <w:t xml:space="preserve">A financing statement sufficiently indicates the collateral that it covers if the financing statement provides: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A description of the collateral pursuant to </w:t>
      </w:r>
      <w:r>
        <w:t>section 9‑1108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An indication that the financing statement covers all assets or all personal property;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An indication by the type of collateral defined in this Title, irrespective of whether such an indication would make possible the identification of the collateral in the manner necessary for a sufficient description pursuant to </w:t>
      </w:r>
      <w:r>
        <w:t>section 9‑1108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§9-1504. Indication of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§9-1504. Indication of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§9-1504. INDICATION OF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