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9-1503</w:t>
        <w:t xml:space="preserve">.  </w:t>
      </w:r>
      <w:r>
        <w:rPr>
          <w:b/>
        </w:rPr>
        <w:t xml:space="preserve">Name of debtor and secured party</w:t>
      </w:r>
    </w:p>
    <w:p>
      <w:pPr>
        <w:jc w:val="both"/>
        <w:spacing w:before="100" w:after="100"/>
        <w:ind w:start="360"/>
        <w:ind w:firstLine="360"/>
      </w:pPr>
      <w:r>
        <w:rPr>
          <w:b/>
        </w:rPr>
        <w:t>(1)</w:t>
        <w:t xml:space="preserve">.  </w:t>
      </w:r>
      <w:r>
        <w:rPr>
          <w:b/>
        </w:rPr>
      </w:r>
      <w:r>
        <w:t xml:space="preserve"> </w:t>
      </w:r>
      <w:r>
        <w:t xml:space="preserve">A financing statement sufficiently provides the name of the debtor:</w:t>
      </w:r>
    </w:p>
    <w:p>
      <w:pPr>
        <w:jc w:val="both"/>
        <w:spacing w:before="100" w:after="0"/>
        <w:ind w:start="720"/>
      </w:pPr>
      <w:r>
        <w:rPr/>
        <w:t>(a)</w:t>
        <w:t xml:space="preserve">.  </w:t>
      </w:r>
      <w:r>
        <w:rPr/>
      </w:r>
      <w:r>
        <w:t xml:space="preserve">Except as otherwise provided in </w:t>
      </w:r>
      <w:r>
        <w:t>paragraph (c)</w:t>
      </w:r>
      <w:r>
        <w:t xml:space="preserve">,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(b)</w:t>
        <w:t xml:space="preserve">.  </w:t>
      </w:r>
      <w:r>
        <w:rPr/>
      </w:r>
      <w:r>
        <w:t xml:space="preserve">Subject to </w:t>
      </w:r>
      <w:r>
        <w:t>subsection (6)</w:t>
      </w:r>
      <w:r>
        <w:t xml:space="preserve">,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w:t>
        <w:t xml:space="preserve">.  </w:t>
      </w:r>
      <w:r>
        <w:rPr/>
      </w:r>
      <w:r>
        <w:t xml:space="preserve">If  the collateral is held in a trust that is not a registered organization, only if the financing statement:</w:t>
      </w:r>
    </w:p>
    <w:p>
      <w:pPr>
        <w:jc w:val="both"/>
        <w:spacing w:before="100" w:after="0"/>
        <w:ind w:start="1080"/>
      </w:pPr>
      <w:r>
        <w:rPr/>
        <w:t>(</w:t>
        <w:t>i</w:t>
        <w:t xml:space="preserve">)  </w:t>
      </w:r>
      <w:r>
        <w:rPr/>
      </w:r>
      <w:r>
        <w:t xml:space="preserve">Provides, as the name of the debtor:</w:t>
      </w:r>
    </w:p>
    <w:p>
      <w:pPr>
        <w:jc w:val="both"/>
        <w:spacing w:before="100" w:after="0"/>
        <w:ind w:start="1440"/>
      </w:pPr>
      <w:r>
        <w:rPr/>
        <w:t>(</w:t>
        <w:t>A</w:t>
        <w:t xml:space="preserve">)  </w:t>
      </w:r>
      <w:r>
        <w:rPr/>
      </w:r>
      <w:r>
        <w:t xml:space="preserve">If the organic record of the trust specifies a name for the trust, the name specified; or</w:t>
      </w:r>
    </w:p>
    <w:p>
      <w:pPr>
        <w:jc w:val="both"/>
        <w:spacing w:before="100" w:after="0"/>
        <w:ind w:start="1440"/>
      </w:pPr>
      <w:r>
        <w:rPr/>
        <w:t>(</w:t>
        <w:t>B</w:t>
        <w:t xml:space="preserve">)  </w:t>
      </w:r>
      <w:r>
        <w:rPr/>
      </w:r>
      <w:r>
        <w:t xml:space="preserve">If the organic record of the trust does not specify a name for the trust, the name of the settlor or testator; and</w:t>
      </w:r>
    </w:p>
    <w:p>
      <w:pPr>
        <w:jc w:val="both"/>
        <w:spacing w:before="100" w:after="0"/>
        <w:ind w:start="1080"/>
      </w:pPr>
      <w:r>
        <w:rPr/>
        <w:t>(</w:t>
        <w:t>ii</w:t>
        <w:t xml:space="preserve">)  </w:t>
      </w:r>
      <w:r>
        <w:rPr/>
      </w:r>
      <w:r>
        <w:t xml:space="preserve">In a separate part of the financing statement:</w:t>
      </w:r>
    </w:p>
    <w:p>
      <w:pPr>
        <w:jc w:val="both"/>
        <w:spacing w:before="100" w:after="0"/>
        <w:ind w:start="1440"/>
      </w:pPr>
      <w:r>
        <w:rPr/>
        <w:t>(</w:t>
        <w:t>A</w:t>
        <w:t xml:space="preserve">)  </w:t>
      </w:r>
      <w:r>
        <w:rPr/>
      </w:r>
      <w:r>
        <w:t xml:space="preserve">If the name is provided in accordance with subparagraph (i), division (A), indicates that the collateral is held in trust; or</w:t>
      </w:r>
    </w:p>
    <w:p>
      <w:pPr>
        <w:jc w:val="both"/>
        <w:spacing w:before="100" w:after="0"/>
        <w:ind w:start="1440"/>
      </w:pPr>
      <w:r>
        <w:rPr/>
        <w:t>(</w:t>
        <w:t>B</w:t>
        <w:t xml:space="preserve">)  </w:t>
      </w:r>
      <w:r>
        <w:rPr/>
      </w:r>
      <w:r>
        <w:t xml:space="preserve">If the name is provided in accordance with subparagraph (i), division (B), provides additional information sufficient to distinguish the trust from other trusts having one or more of the same settlors or the same testator and indicates that the collateral is held in a trust, unless the additional information so indicates;</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(c-1)</w:t>
        <w:t xml:space="preserve">.  </w:t>
      </w:r>
      <w:r>
        <w:rPr/>
      </w:r>
      <w:r>
        <w:t xml:space="preserve">Subject to </w:t>
      </w:r>
      <w:r>
        <w:t>subsection 7</w:t>
      </w:r>
      <w:r>
        <w:t xml:space="preserve"> if the debtor is an individual to whom this State has issued a driver's license or nondriver identification card that has not expired, only if the financing statement provides the name of the individual that is indicated on a driver's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(c-2)</w:t>
        <w:t xml:space="preserve">.  </w:t>
      </w:r>
      <w:r>
        <w:rPr/>
      </w:r>
      <w:r>
        <w:t xml:space="preserve">If the debtor is an individual to whom </w:t>
      </w:r>
      <w:r>
        <w:t>paragraph (c‑1)</w:t>
      </w:r>
      <w:r>
        <w:t xml:space="preserve"> does not apply, only if the financing statement provides the individual name of the debtor or the surname and first personal name of the debtor; and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(d)</w:t>
        <w:t xml:space="preserve">.  </w:t>
      </w:r>
      <w:r>
        <w:rPr/>
      </w:r>
      <w:r>
        <w:t xml:space="preserve">In other cases:</w:t>
      </w:r>
    </w:p>
    <w:p>
      <w:pPr>
        <w:jc w:val="both"/>
        <w:spacing w:before="100" w:after="0"/>
        <w:ind w:start="1080"/>
      </w:pPr>
      <w:r>
        <w:rPr/>
        <w:t>(</w:t>
        <w:t>i</w:t>
        <w:t xml:space="preserve">)  </w:t>
      </w:r>
      <w:r>
        <w:rPr/>
      </w:r>
      <w:r>
        <w:t xml:space="preserve">If the debtor has a name, only if the financing statement provides the organizational name of the debtor; and</w:t>
      </w:r>
    </w:p>
    <w:p>
      <w:pPr>
        <w:jc w:val="both"/>
        <w:spacing w:before="100" w:after="0"/>
        <w:ind w:start="1080"/>
      </w:pPr>
      <w:r>
        <w:rPr/>
        <w:t>(</w:t>
        <w:t>ii</w:t>
        <w:t xml:space="preserve">)  </w:t>
      </w:r>
      <w:r>
        <w:rPr/>
      </w:r>
      <w:r>
        <w:t xml:space="preserve">If the debtor does not have a name, only if the financing statement  provides the names of the partners, members, associates or other persons comprising the debtor, in a manner so that each name provided would be sufficient if the person named were the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(AMD).]</w:t>
      </w:r>
    </w:p>
    <w:p>
      <w:pPr>
        <w:jc w:val="both"/>
        <w:spacing w:before="100" w:after="100"/>
        <w:ind w:start="360"/>
        <w:ind w:firstLine="360"/>
      </w:pPr>
      <w:r>
        <w:rPr>
          <w:b/>
        </w:rPr>
        <w:t>(2)</w:t>
        <w:t xml:space="preserve">.  </w:t>
      </w:r>
      <w:r>
        <w:rPr>
          <w:b/>
        </w:rPr>
      </w:r>
      <w:r>
        <w:t xml:space="preserve"> </w:t>
      </w:r>
      <w:r>
        <w:t xml:space="preserve">A financing statement that provides the name of the debtor in accordance with </w:t>
      </w:r>
      <w:r>
        <w:t>subsection (1)</w:t>
      </w:r>
      <w:r>
        <w:t xml:space="preserve"> is not rendered ineffective by the absence of:</w:t>
      </w:r>
    </w:p>
    <w:p>
      <w:pPr>
        <w:jc w:val="both"/>
        <w:spacing w:before="100" w:after="0"/>
        <w:ind w:start="720"/>
      </w:pPr>
      <w:r>
        <w:rPr/>
        <w:t>(a)</w:t>
        <w:t xml:space="preserve">.  </w:t>
      </w:r>
      <w:r>
        <w:rPr/>
      </w:r>
      <w:r>
        <w:t xml:space="preserve">A trade name or other name of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required under </w:t>
      </w:r>
      <w:r>
        <w:t>subsection (1), paragraph (d)</w:t>
      </w:r>
      <w:r>
        <w:t xml:space="preserve">, subparagraph (ii), names of partners, members, associates or other persons comprising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provides only the debtor's trade name does not sufficiently provide the name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Failure to indicate the representative capacity of a secured party or representative of a secured party does not affect the sufficiency of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financing statement may provide the name of more than one debtor and the name of more than one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name of the decedent as indicated on the order appointing the personal representative of the decedent issued by the court having jurisdiction over the collateral is sufficient as the name of the decedent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0"/>
        <w:ind w:start="360"/>
        <w:ind w:firstLine="360"/>
      </w:pPr>
      <w:r>
        <w:rPr>
          <w:b/>
        </w:rPr>
        <w:t>(7)</w:t>
        <w:t xml:space="preserve">.  </w:t>
      </w:r>
      <w:r>
        <w:rPr>
          <w:b/>
        </w:rPr>
      </w:r>
      <w:r>
        <w:t xml:space="preserve"> </w:t>
      </w:r>
      <w:r>
        <w:t xml:space="preserve">If this State has issued to an individual more than one driver's license or nondriver identification card of a kind described in </w:t>
      </w:r>
      <w:r>
        <w:t>subsection (1), paragraph (c‑1)</w:t>
      </w:r>
      <w:r>
        <w:t xml:space="preserve">, the one that was issued most recently is the one to which </w:t>
      </w:r>
      <w:r>
        <w:t>subsection (1), paragraph (c‑1)</w:t>
      </w:r>
      <w:r>
        <w:t xml:space="preserve"> refers.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100"/>
        <w:ind w:start="360"/>
        <w:ind w:firstLine="360"/>
      </w:pPr>
      <w:r>
        <w:rPr>
          <w:b/>
        </w:rPr>
        <w:t>(8)</w:t>
        <w:t xml:space="preserve">.  </w:t>
      </w:r>
      <w:r>
        <w:rPr>
          <w:b/>
        </w:rPr>
      </w:r>
      <w:r>
        <w:t xml:space="preserve"> </w:t>
      </w:r>
      <w:r>
        <w:t xml:space="preserve">In this section, "name of the settlor or testator" means:</w:t>
      </w:r>
    </w:p>
    <w:p>
      <w:pPr>
        <w:jc w:val="both"/>
        <w:spacing w:before="100" w:after="0"/>
        <w:ind w:start="720"/>
      </w:pPr>
      <w:r>
        <w:rPr/>
        <w:t>(a)</w:t>
        <w:t xml:space="preserve">.  </w:t>
      </w:r>
      <w:r>
        <w:rPr/>
      </w:r>
      <w:r>
        <w:t xml:space="preserve">If the settlor is a registered organization, the name that is stated to be the settlor's name on the public organic record most recently filed with or issued or enacted by the settlor's jurisdiction of organization that purports to state, amend or restate the settlor's name; or</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(b)</w:t>
        <w:t xml:space="preserve">.  </w:t>
      </w:r>
      <w:r>
        <w:rPr/>
      </w:r>
      <w:r>
        <w:t xml:space="preserve">In other cases, the name of the settlor or testator indicated in the trust's organic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§9-1503. Name of debtor and secured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§9-1503. Name of debtor and secured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§9-1503. NAME OF DEBTOR AND SECURED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