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9-1402</w:t>
        <w:t xml:space="preserve">.  </w:t>
      </w:r>
      <w:r>
        <w:rPr>
          <w:b/>
        </w:rPr>
        <w:t xml:space="preserve">Secured party not obligated on contract of debtor or in tort</w:t>
      </w:r>
    </w:p>
    <w:p>
      <w:pPr>
        <w:jc w:val="both"/>
        <w:spacing w:before="100" w:after="100"/>
        <w:ind w:start="360"/>
        <w:ind w:firstLine="360"/>
      </w:pPr>
      <w:r>
        <w:rPr/>
      </w:r>
      <w:r>
        <w:rPr/>
      </w:r>
      <w:r>
        <w:t xml:space="preserve">The existence of a security interest, agricultural lien or authority given to a debtor to dispose of or use collateral, without more, does not subject a secured party to liability in contract or tort for the debtor's acts or omissions.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§9-1402. Secured party not obligated on contract of debtor or in tort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§9-1402. Secured party not obligated on contract of debtor or in tort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§9-1402. SECURED PARTY NOT OBLIGATED ON CONTRACT OF DEBTOR OR IN TORT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