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9-1401</w:t>
        <w:t xml:space="preserve">.  </w:t>
      </w:r>
      <w:r>
        <w:rPr>
          <w:b/>
        </w:rPr>
        <w:t xml:space="preserve">Alienability of debtor's rights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and </w:t>
      </w:r>
      <w:r>
        <w:t>sections 9‑1406</w:t>
      </w:r>
      <w:r>
        <w:t xml:space="preserve">, </w:t>
      </w:r>
      <w:r>
        <w:t>9‑1407</w:t>
      </w:r>
      <w:r>
        <w:t xml:space="preserve">, </w:t>
      </w:r>
      <w:r>
        <w:t>9‑1408</w:t>
      </w:r>
      <w:r>
        <w:t xml:space="preserve"> and </w:t>
      </w:r>
      <w:r>
        <w:t>9‑1409</w:t>
      </w:r>
      <w:r>
        <w:t xml:space="preserve">, whether a debtor's rights in collateral may be voluntarily or involuntarily transferred is governed by law other than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agreement between the debtor and secured party that prohibits a transfer of the debtor's rights in collateral or makes the transfer a default does not prevent the transfer from taking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§9-1401. Alienability of debtor's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§9-1401. Alienability of debtor's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§9-1401. ALIENABILITY OF DEBTOR'S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