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§9-1326. Priority of security interests created by new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§9-1326. Priority of security interests created by new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§9-1326. PRIORITY OF SECURITY INTERESTS CREATED BY NEW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