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§9-1324. Priority of purchase-money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§9-1324. Priority of purchase-money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§9-1324. PRIORITY OF PURCHASE-MONEY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