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9-1319</w:t>
        <w:t xml:space="preserve">.  </w:t>
      </w:r>
      <w:r>
        <w:rPr>
          <w:b/>
        </w:rPr>
        <w:t xml:space="preserve">Rights and title of consignee with respect to creditors and purchasers</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for purposes of determining the rights of creditors of, and purchasers for value of goods from, a consignee, while the goods are in the possession of the consignee, the consignee is deemed to have rights and title to the goods identical to those the consignor had or had power to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For purposes of determining the rights of a creditor of a consignee, law other than this Article determines the rights and title of a consignee while goods are in the consignee's possession if, under this Part, a perfected security interest held by the consignor would have priority over the rights of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§9-1319. Rights and title of consignee with respect to creditors and purchasers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§9-1319. Rights and title of consignee with respect to creditors and purchasers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§9-1319. RIGHTS AND TITLE OF CONSIGNEE WITH RESPECT TO CREDITORS AND PURCHASERS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