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9-1205</w:t>
        <w:t xml:space="preserve">.  </w:t>
      </w:r>
      <w:r>
        <w:rPr>
          <w:b/>
        </w:rPr>
        <w:t xml:space="preserve">Use or disposition of collateral permissible</w:t>
      </w:r>
    </w:p>
    <w:p>
      <w:pPr>
        <w:jc w:val="both"/>
        <w:spacing w:before="100" w:after="100"/>
        <w:ind w:start="360"/>
        <w:ind w:firstLine="360"/>
      </w:pPr>
      <w:r>
        <w:rPr>
          <w:b/>
        </w:rPr>
        <w:t>(1)</w:t>
        <w:t xml:space="preserve">.  </w:t>
      </w:r>
      <w:r>
        <w:rPr>
          <w:b/>
        </w:rPr>
      </w:r>
      <w:r>
        <w:t xml:space="preserve"> </w:t>
      </w:r>
      <w:r>
        <w:t xml:space="preserve">A security interest is not invalid or fraudulent against creditors solely because:</w:t>
      </w:r>
    </w:p>
    <w:p>
      <w:pPr>
        <w:jc w:val="both"/>
        <w:spacing w:before="100" w:after="0"/>
        <w:ind w:start="720"/>
      </w:pPr>
      <w:r>
        <w:rPr/>
        <w:t>(a)</w:t>
        <w:t xml:space="preserve">.  </w:t>
      </w:r>
      <w:r>
        <w:rPr/>
      </w:r>
      <w:r>
        <w:t xml:space="preserve">The debtor has the right or ability to:</w:t>
      </w:r>
    </w:p>
    <w:p>
      <w:pPr>
        <w:jc w:val="both"/>
        <w:spacing w:before="100" w:after="0"/>
        <w:ind w:start="1080"/>
      </w:pPr>
      <w:r>
        <w:rPr/>
        <w:t>(</w:t>
        <w:t>i</w:t>
        <w:t xml:space="preserve">)  </w:t>
      </w:r>
      <w:r>
        <w:rPr/>
      </w:r>
      <w:r>
        <w:t xml:space="preserve">Use, commingle or dispose of all or part of the collateral, including returned or repossessed goods;</w:t>
      </w:r>
    </w:p>
    <w:p>
      <w:pPr>
        <w:jc w:val="both"/>
        <w:spacing w:before="100" w:after="0"/>
        <w:ind w:start="1080"/>
      </w:pPr>
      <w:r>
        <w:rPr/>
        <w:t>(</w:t>
        <w:t>ii</w:t>
        <w:t xml:space="preserve">)  </w:t>
      </w:r>
      <w:r>
        <w:rPr/>
      </w:r>
      <w:r>
        <w:t xml:space="preserve">Collect, compromise, enforce or otherwise deal with collateral;</w:t>
      </w:r>
    </w:p>
    <w:p>
      <w:pPr>
        <w:jc w:val="both"/>
        <w:spacing w:before="100" w:after="0"/>
        <w:ind w:start="1080"/>
      </w:pPr>
      <w:r>
        <w:rPr/>
        <w:t>(</w:t>
        <w:t>iii</w:t>
        <w:t xml:space="preserve">)  </w:t>
      </w:r>
      <w:r>
        <w:rPr/>
      </w:r>
      <w:r>
        <w:t xml:space="preserve">Accept the return of collateral or make repossessions; or</w:t>
      </w:r>
    </w:p>
    <w:p>
      <w:pPr>
        <w:jc w:val="both"/>
        <w:spacing w:before="100" w:after="0"/>
        <w:ind w:start="1080"/>
      </w:pPr>
      <w:r>
        <w:rPr/>
        <w:t>(</w:t>
        <w:t>iv</w:t>
        <w:t xml:space="preserve">)  </w:t>
      </w:r>
      <w:r>
        <w:rPr/>
      </w:r>
      <w:r>
        <w:t xml:space="preserve">Use, commingle or dispose of proceeds;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secured party fails to require the debtor to account for proceeds or replace collateral.</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This section does not relax the requirements of possession if attachment, perfection or enforcement of a security interest depends upon possession of the collateral by the secured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§9-1205. Use or disposition of collateral permissible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§9-1205. Use or disposition of collateral permissible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§9-1205. USE OR DISPOSITION OF COLLATERAL PERMISSIBLE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