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Investment Securitie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