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7-1509</w:t>
        <w:t xml:space="preserve">.  </w:t>
      </w:r>
      <w:r>
        <w:rPr>
          <w:b/>
        </w:rPr>
        <w:t xml:space="preserve">Adequate compliance with commercial contract</w:t>
      </w:r>
    </w:p>
    <w:p>
      <w:pPr>
        <w:jc w:val="both"/>
        <w:spacing w:before="100" w:after="100"/>
        <w:ind w:start="360"/>
        <w:ind w:firstLine="360"/>
      </w:pPr>
      <w:r>
        <w:rPr/>
      </w:r>
      <w:r>
        <w:rPr/>
      </w:r>
      <w:r>
        <w:t xml:space="preserve">Whether a document of title is adequate to fulfill the obligations of a contract for sale, a contract for lease or the conditions of a letter of credit is determined by </w:t>
      </w:r>
      <w:r>
        <w:t>Article 2</w:t>
      </w:r>
      <w:r>
        <w:t xml:space="preserve">, </w:t>
      </w:r>
      <w:r>
        <w:t>2‑A</w:t>
      </w:r>
      <w:r>
        <w:t xml:space="preserve"> or 5.</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§7-1509. Adequate compliance with commercial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§7-1509. Adequate compliance with commercial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§7-1509. ADEQUATE COMPLIANCE WITH COMMERCIAL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