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7-1106</w:t>
        <w:t xml:space="preserve">.  </w:t>
      </w:r>
      <w:r>
        <w:rPr>
          <w:b/>
        </w:rPr>
        <w:t xml:space="preserve">Control of electronic document of title</w:t>
      </w:r>
    </w:p>
    <w:p>
      <w:pPr>
        <w:jc w:val="both"/>
        <w:spacing w:before="100" w:after="0"/>
        <w:ind w:start="360"/>
        <w:ind w:firstLine="360"/>
      </w:pPr>
      <w:r>
        <w:rPr>
          <w:b/>
        </w:rPr>
        <w:t>(1)</w:t>
        <w:t xml:space="preserve">.  </w:t>
      </w:r>
      <w:r>
        <w:rPr>
          <w:b/>
        </w:rPr>
      </w:r>
      <w:r>
        <w:t xml:space="preserve"> </w:t>
      </w:r>
      <w:r>
        <w:t xml:space="preserve">A person has control of an electronic document of title if a system employed for evidencing the transfer of interests in the electronic document reliably establishes that person as the person to which the electronic document was issued or transferred.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100"/>
        <w:ind w:start="360"/>
        <w:ind w:firstLine="360"/>
      </w:pPr>
      <w:r>
        <w:rPr>
          <w:b/>
        </w:rPr>
        <w:t>(2)</w:t>
        <w:t xml:space="preserve">.  </w:t>
      </w:r>
      <w:r>
        <w:rPr>
          <w:b/>
        </w:rPr>
      </w:r>
      <w:r>
        <w:t xml:space="preserve"> </w:t>
      </w:r>
      <w:r>
        <w:t xml:space="preserve">A system satisfies </w:t>
      </w:r>
      <w:r>
        <w:t>subsection (1)</w:t>
      </w:r>
      <w:r>
        <w:t xml:space="preserve">, and a person is deemed to have control of an electronic document of title, if the document is created, stored and assigned in such a manner that:</w:t>
      </w:r>
    </w:p>
    <w:p>
      <w:pPr>
        <w:jc w:val="both"/>
        <w:spacing w:before="100" w:after="0"/>
        <w:ind w:start="720"/>
      </w:pPr>
      <w:r>
        <w:rPr/>
        <w:t>(a)</w:t>
        <w:t xml:space="preserve">.  </w:t>
      </w:r>
      <w:r>
        <w:rPr/>
      </w:r>
      <w:r>
        <w:t xml:space="preserve">A single authoritative copy of the document exists that is unique, identifiable and, except as otherwise provided in </w:t>
      </w:r>
      <w:r>
        <w:t>paragraphs (d)</w:t>
      </w:r>
      <w:r>
        <w:t xml:space="preserve">, </w:t>
      </w:r>
      <w:r>
        <w:t>(e)</w:t>
      </w:r>
      <w:r>
        <w:t xml:space="preserve"> and </w:t>
      </w:r>
      <w:r>
        <w:t>(f)</w:t>
      </w:r>
      <w:r>
        <w:t xml:space="preserve">, unalterable;</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(b)</w:t>
        <w:t xml:space="preserve">.  </w:t>
      </w:r>
      <w:r>
        <w:rPr/>
      </w:r>
      <w:r>
        <w:t xml:space="preserve">The authoritative copy identifies the person asserting control as:</w:t>
      </w:r>
    </w:p>
    <w:p>
      <w:pPr>
        <w:jc w:val="both"/>
        <w:spacing w:before="100" w:after="0"/>
        <w:ind w:start="1080"/>
      </w:pPr>
      <w:r>
        <w:rPr/>
        <w:t>(</w:t>
        <w:t>i</w:t>
        <w:t xml:space="preserve">)  </w:t>
      </w:r>
      <w:r>
        <w:rPr/>
      </w:r>
      <w:r>
        <w:t xml:space="preserve">The person to which the document was issued; or</w:t>
      </w:r>
    </w:p>
    <w:p>
      <w:pPr>
        <w:jc w:val="both"/>
        <w:spacing w:before="100" w:after="0"/>
        <w:ind w:start="1080"/>
      </w:pPr>
      <w:r>
        <w:rPr/>
        <w:t>(</w:t>
        <w:t>ii</w:t>
        <w:t xml:space="preserve">)  </w:t>
      </w:r>
      <w:r>
        <w:rPr/>
      </w:r>
      <w:r>
        <w:t xml:space="preserve">If the authoritative copy indicates that the document has been transferred, the person to which the document was most recently transferred;</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(c)</w:t>
        <w:t xml:space="preserve">.  </w:t>
      </w:r>
      <w:r>
        <w:rPr/>
      </w:r>
      <w:r>
        <w:t xml:space="preserve">The authoritative copy is communicated to and maintained by the person asserting control or its designated custodian;</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(d)</w:t>
        <w:t xml:space="preserve">.  </w:t>
      </w:r>
      <w:r>
        <w:rPr/>
      </w:r>
      <w:r>
        <w:t xml:space="preserve">Copies or amendments that add or change an identified assignee of the authoritative copy can be made only with the consent of the person asserting control;</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(e)</w:t>
        <w:t xml:space="preserve">.  </w:t>
      </w:r>
      <w:r>
        <w:rPr/>
      </w:r>
      <w:r>
        <w:t xml:space="preserve">Each copy of the authoritative copy and any copy of a copy is readily identifiable as a copy that is not the authoritative copy; and</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(f)</w:t>
        <w:t xml:space="preserve">.  </w:t>
      </w:r>
      <w:r>
        <w:rPr/>
      </w:r>
      <w:r>
        <w:t xml:space="preserve">Any amendment of the authoritative copy is readily identifiable as authorized or unauthorized.</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§7-1106. Control of electronic document of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§7-1106. Control of electronic document of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§7-1106. CONTROL OF ELECTRONIC DOCUMENT OF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