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4-209</w:t>
        <w:t xml:space="preserve">.  </w:t>
      </w:r>
      <w:r>
        <w:rPr>
          <w:b/>
        </w:rPr>
        <w:t xml:space="preserve">When bank gives value for purposes of holder in due course</w:t>
      </w:r>
    </w:p>
    <w:p>
      <w:pPr>
        <w:jc w:val="both"/>
        <w:spacing w:before="100" w:after="100"/>
        <w:ind w:start="360"/>
        <w:ind w:firstLine="360"/>
      </w:pPr>
      <w:r>
        <w:rPr/>
      </w:r>
      <w:r>
        <w:rPr/>
      </w:r>
      <w:r>
        <w:t xml:space="preserve">For purposes of determining its status as a holder in due course, a bank has given value to the extent it has a security interest in an item, if the bank otherwise complies with the requirements of </w:t>
      </w:r>
      <w:r>
        <w:t>section 3‑1302</w:t>
      </w:r>
      <w:r>
        <w:t xml:space="preserve"> on what constitutes a holder in due course.</w:t>
      </w:r>
      <w:r>
        <w:t xml:space="preserve">  </w:t>
      </w:r>
      <w:r xmlns:wp="http://schemas.openxmlformats.org/drawingml/2010/wordprocessingDrawing" xmlns:w15="http://schemas.microsoft.com/office/word/2012/wordml">
        <w:rPr>
          <w:rFonts w:ascii="Arial" w:hAnsi="Arial" w:cs="Arial"/>
          <w:sz w:val="22"/>
          <w:szCs w:val="22"/>
        </w:rPr>
        <w:t xml:space="preserve">[PL 1993, c. 293, Pt. B,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§4-209. When bank gives value for purposes of holder in due course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§4-209. When bank gives value for purposes of holder in due course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§4-209. WHEN BANK GIVES VALUE FOR PURPOSES OF HOLDER IN DUE COURSE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