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4-1406</w:t>
        <w:t xml:space="preserve">.  </w:t>
      </w:r>
      <w:r>
        <w:rPr>
          <w:b/>
        </w:rPr>
        <w:t xml:space="preserve">Payment by originator to beneficiary; discharge of underlying obligation</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the originator of a funds transfer pays the beneficiary of the originator's payment order at the time a payment order for the benefit of the beneficiary is accepted by the beneficiary's bank in the funds transfer and in an amount equal to the amount of the order accepted by the beneficiary's bank, but not more than the amount of the originator's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payment under </w:t>
      </w:r>
      <w:r>
        <w:t>subsection (1)</w:t>
      </w:r>
      <w:r>
        <w:t xml:space="preserve"> is made to satisfy an obligation, the obligation is discharged to the same extent discharge would result from payment to the beneficiary of the same amount in money, unless:</w:t>
      </w:r>
    </w:p>
    <w:p>
      <w:pPr>
        <w:jc w:val="both"/>
        <w:spacing w:before="100" w:after="0"/>
        <w:ind w:start="720"/>
      </w:pPr>
      <w:r>
        <w:rPr/>
        <w:t>(a)</w:t>
        <w:t xml:space="preserve">.  </w:t>
      </w:r>
      <w:r>
        <w:rPr/>
      </w:r>
      <w:r>
        <w:t xml:space="preserve">The payment under </w:t>
      </w:r>
      <w:r>
        <w:t>subsection (1)</w:t>
      </w:r>
      <w:r>
        <w:t xml:space="preserve"> was made by a means prohibited by the contract of the beneficiary with respect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within a reasonable time after receiving notice of receipt of the order by the beneficiary's bank, notified the originator of the beneficiary's refusal of the payment;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were not withdrawn by the beneficiary or applied to a debt of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The beneficiary would suffer a loss that could reasonably have been avoided if payment had been made by a means complying with the contract.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payment by the originator does not result in discharge under this section, the originator is subrogated to the rights of the beneficiary to receive payment from the beneficiary's bank under </w:t>
      </w:r>
      <w:r>
        <w:t>section 4‑1404,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For the purpose of determining whether discharge of an obligation occurs under </w:t>
      </w:r>
      <w:r>
        <w:t>subsection (2)</w:t>
      </w:r>
      <w:r>
        <w:t xml:space="preserve">,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Rights of the originator or of the beneficiary of a funds transfer under this section may be varied only by agreement of the originator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§4-1406. Payment by originator to beneficiary; discharge of underlying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§4-1406. Payment by originator to beneficiary; discharge of underlying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§4-1406. PAYMENT BY ORIGINATOR TO BENEFICIARY; DISCHARGE OF UNDERLYING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