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4-1105</w:t>
        <w:t xml:space="preserve">.  </w:t>
      </w:r>
      <w:r>
        <w:rPr>
          <w:b/>
        </w:rPr>
        <w:t xml:space="preserve">Other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"Authorized account"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"Bank" means a person engaged in the business of banking and includes a savings bank, savings and loan association, credit union and trust company.  A branch or separate office of a bank is a separate bank for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"Customer" means a person, including a bank, having an account with a bank or from whom a bank has agreed to receive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"Funds transfer business day" of a receiving bank means the part of a day during which the receiving bank is open for the receipt, processing and transmittal of payment orders and cancellations and amendments of payment orders;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"Funds transfer system" means a wire transfer network, automated clearing house or other communication system of a clearing house or other association of banks through which a payment order by a bank may be transmitted to the bank to which the order is addressed; and</w:t>
      </w:r>
      <w:r>
        <w:t xml:space="preserve">  </w:t>
      </w:r>
      <w:r xmlns:wp="http://schemas.openxmlformats.org/drawingml/2010/wordprocessingDrawing" xmlns:w15="http://schemas.microsoft.com/office/word/2012/wordml">
        <w:rPr>
          <w:rFonts w:ascii="Arial" w:hAnsi="Arial" w:cs="Arial"/>
          <w:sz w:val="22"/>
          <w:szCs w:val="22"/>
        </w:rPr>
        <w:t xml:space="preserve">[PL 2009, c. 325, Pt. B, §17 (AMD); PL 2009, c. 325, Pt. B, §27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§18 (RP); PL 2009, c. 325, Pt. B, §27 (AFF).]</w:t>
      </w:r>
    </w:p>
    <w:p>
      <w:pPr>
        <w:jc w:val="both"/>
        <w:spacing w:before="100" w:after="0"/>
        <w:ind w:start="720"/>
      </w:pPr>
      <w:r>
        <w:rPr/>
        <w:t>(g)</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§19 (AMD); PL 2009, c. 325, Pt. B,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§§17-19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48"/>
        <w:gridCol w:w="3254"/>
      </w:tblGrid>
      <w:tr>
        <w:trPr>
          <w:cantSplit/>
        </w:trPr>
        <w:tc>
          <w:tcPr>
            <w:tcW w:w="504" w:type="dxa"/>
          </w:tcPr>
          <w:p>
            <w:pPr>
              <w:jc w:val="both"/>
            </w:pPr>
          </w:p>
        </w:tc>
        <w:tc>
          <w:tcPr>
            <w:tcW w:w="4579" w:type="dxa"/>
          </w:tcPr>
          <w:p>
            <w:pPr>
              <w:jc w:val="left"/>
            </w:pPr>
            <w:r>
              <w:t xml:space="preserve">"Acceptance"</w:t>
            </w:r>
          </w:p>
        </w:tc>
        <w:tc>
          <w:tcPr>
            <w:tcW w:w="648" w:type="dxa"/>
          </w:tcPr>
          <w:p>
            <w:pPr>
              <w:jc w:val="both"/>
            </w:pPr>
          </w:p>
        </w:tc>
        <w:tc>
          <w:tcPr>
            <w:tcW w:w="3254" w:type="dxa"/>
          </w:tcPr>
          <w:p>
            <w:pPr>
              <w:jc w:val="left"/>
            </w:pPr>
            <w:r>
              <w:t>Section 4‑1209</w:t>
            </w:r>
          </w:p>
        </w:tc>
      </w:tr>
      <w:tr>
        <w:trPr>
          <w:cantSplit/>
        </w:trPr>
        <w:tc>
          <w:tcPr>
            <w:tcW w:w="504" w:type="dxa"/>
          </w:tcPr>
          <w:p>
            <w:pPr>
              <w:jc w:val="both"/>
            </w:pPr>
          </w:p>
        </w:tc>
        <w:tc>
          <w:tcPr>
            <w:tcW w:w="4579" w:type="dxa"/>
          </w:tcPr>
          <w:p>
            <w:pPr>
              <w:jc w:val="left"/>
            </w:pPr>
            <w:r>
              <w:t xml:space="preserve">"Beneficiary"</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"Beneficiary's bank"</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"Executed"</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"Execution date"</w:t>
            </w:r>
          </w:p>
        </w:tc>
        <w:tc>
          <w:tcPr>
            <w:tcW w:w="648" w:type="dxa"/>
          </w:tcPr>
          <w:p>
            <w:pPr>
              <w:jc w:val="both"/>
            </w:pPr>
          </w:p>
        </w:tc>
        <w:tc>
          <w:tcPr>
            <w:tcW w:w="3254" w:type="dxa"/>
          </w:tcPr>
          <w:p>
            <w:pPr>
              <w:jc w:val="left"/>
            </w:pPr>
            <w:r>
              <w:t>Section 4‑1301</w:t>
            </w:r>
          </w:p>
        </w:tc>
      </w:tr>
      <w:tr>
        <w:trPr>
          <w:cantSplit/>
        </w:trPr>
        <w:tc>
          <w:tcPr>
            <w:tcW w:w="504" w:type="dxa"/>
          </w:tcPr>
          <w:p>
            <w:pPr>
              <w:jc w:val="both"/>
            </w:pPr>
          </w:p>
        </w:tc>
        <w:tc>
          <w:tcPr>
            <w:tcW w:w="4579" w:type="dxa"/>
          </w:tcPr>
          <w:p>
            <w:pPr>
              <w:jc w:val="left"/>
            </w:pPr>
            <w:r>
              <w:t xml:space="preserve">"Funds transfer"</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"Funds transfer system rule"</w:t>
            </w:r>
          </w:p>
        </w:tc>
        <w:tc>
          <w:tcPr>
            <w:tcW w:w="648" w:type="dxa"/>
          </w:tcPr>
          <w:p>
            <w:pPr>
              <w:jc w:val="both"/>
            </w:pPr>
          </w:p>
        </w:tc>
        <w:tc>
          <w:tcPr>
            <w:tcW w:w="3254" w:type="dxa"/>
          </w:tcPr>
          <w:p>
            <w:pPr>
              <w:jc w:val="left"/>
            </w:pPr>
            <w:r>
              <w:t>Section 4‑1501</w:t>
            </w:r>
          </w:p>
        </w:tc>
      </w:tr>
      <w:tr>
        <w:trPr>
          <w:cantSplit/>
        </w:trPr>
        <w:tc>
          <w:tcPr>
            <w:tcW w:w="504" w:type="dxa"/>
          </w:tcPr>
          <w:p>
            <w:pPr>
              <w:jc w:val="both"/>
            </w:pPr>
          </w:p>
        </w:tc>
        <w:tc>
          <w:tcPr>
            <w:tcW w:w="4579" w:type="dxa"/>
          </w:tcPr>
          <w:p>
            <w:pPr>
              <w:jc w:val="left"/>
            </w:pPr>
            <w:r>
              <w:t xml:space="preserve">"Intermediary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"Originator"</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"Originator's bank"</w:t>
            </w:r>
          </w:p>
        </w:tc>
        <w:tc>
          <w:tcPr>
            <w:tcW w:w="648" w:type="dxa"/>
          </w:tcPr>
          <w:p>
            <w:pPr>
              <w:jc w:val="both"/>
            </w:pPr>
          </w:p>
        </w:tc>
        <w:tc>
          <w:tcPr>
            <w:tcW w:w="3254" w:type="dxa"/>
          </w:tcPr>
          <w:p>
            <w:pPr>
              <w:jc w:val="left"/>
            </w:pPr>
            <w:r>
              <w:t>Section 4‑1104</w:t>
            </w:r>
          </w:p>
        </w:tc>
      </w:tr>
      <w:tr>
        <w:trPr>
          <w:cantSplit/>
        </w:trPr>
        <w:tc>
          <w:tcPr>
            <w:tcW w:w="504" w:type="dxa"/>
          </w:tcPr>
          <w:p>
            <w:pPr>
              <w:jc w:val="both"/>
            </w:pPr>
          </w:p>
        </w:tc>
        <w:tc>
          <w:tcPr>
            <w:tcW w:w="4579" w:type="dxa"/>
          </w:tcPr>
          <w:p>
            <w:pPr>
              <w:jc w:val="left"/>
            </w:pPr>
            <w:r>
              <w:t xml:space="preserve">"Payment by beneficiary's bank to beneficiary"</w:t>
            </w:r>
          </w:p>
        </w:tc>
        <w:tc>
          <w:tcPr>
            <w:tcW w:w="648" w:type="dxa"/>
          </w:tcPr>
          <w:p>
            <w:pPr>
              <w:jc w:val="both"/>
            </w:pPr>
          </w:p>
        </w:tc>
        <w:tc>
          <w:tcPr>
            <w:tcW w:w="3254" w:type="dxa"/>
          </w:tcPr>
          <w:p>
            <w:pPr>
              <w:jc w:val="left"/>
            </w:pPr>
            <w:r>
              <w:t>Section 4‑1405</w:t>
            </w:r>
          </w:p>
        </w:tc>
      </w:tr>
      <w:tr>
        <w:trPr>
          <w:cantSplit/>
        </w:trPr>
        <w:tc>
          <w:tcPr>
            <w:tcW w:w="504" w:type="dxa"/>
          </w:tcPr>
          <w:p>
            <w:pPr>
              <w:jc w:val="both"/>
            </w:pPr>
          </w:p>
        </w:tc>
        <w:tc>
          <w:tcPr>
            <w:tcW w:w="4579" w:type="dxa"/>
          </w:tcPr>
          <w:p>
            <w:pPr>
              <w:jc w:val="left"/>
            </w:pPr>
            <w:r>
              <w:t xml:space="preserve">"Payment by originator to beneficiary"</w:t>
            </w:r>
          </w:p>
        </w:tc>
        <w:tc>
          <w:tcPr>
            <w:tcW w:w="648" w:type="dxa"/>
          </w:tcPr>
          <w:p>
            <w:pPr>
              <w:jc w:val="both"/>
            </w:pPr>
          </w:p>
        </w:tc>
        <w:tc>
          <w:tcPr>
            <w:tcW w:w="3254" w:type="dxa"/>
          </w:tcPr>
          <w:p>
            <w:pPr>
              <w:jc w:val="left"/>
            </w:pPr>
            <w:r>
              <w:t>Section 4‑1406</w:t>
            </w:r>
          </w:p>
        </w:tc>
      </w:tr>
      <w:tr>
        <w:trPr>
          <w:cantSplit/>
        </w:trPr>
        <w:tc>
          <w:tcPr>
            <w:tcW w:w="504" w:type="dxa"/>
          </w:tcPr>
          <w:p>
            <w:pPr>
              <w:jc w:val="both"/>
            </w:pPr>
          </w:p>
        </w:tc>
        <w:tc>
          <w:tcPr>
            <w:tcW w:w="4579" w:type="dxa"/>
          </w:tcPr>
          <w:p>
            <w:pPr>
              <w:jc w:val="left"/>
            </w:pPr>
            <w:r>
              <w:t xml:space="preserve">"Payment by sender to receiving bank"</w:t>
            </w:r>
          </w:p>
        </w:tc>
        <w:tc>
          <w:tcPr>
            <w:tcW w:w="648" w:type="dxa"/>
          </w:tcPr>
          <w:p>
            <w:pPr>
              <w:jc w:val="both"/>
            </w:pPr>
          </w:p>
        </w:tc>
        <w:tc>
          <w:tcPr>
            <w:tcW w:w="3254" w:type="dxa"/>
          </w:tcPr>
          <w:p>
            <w:pPr>
              <w:jc w:val="left"/>
            </w:pPr>
            <w:r>
              <w:t>Section 4‑1403</w:t>
            </w:r>
          </w:p>
        </w:tc>
      </w:tr>
      <w:tr>
        <w:trPr>
          <w:cantSplit/>
        </w:trPr>
        <w:tc>
          <w:tcPr>
            <w:tcW w:w="504" w:type="dxa"/>
          </w:tcPr>
          <w:p>
            <w:pPr>
              <w:jc w:val="both"/>
            </w:pPr>
          </w:p>
        </w:tc>
        <w:tc>
          <w:tcPr>
            <w:tcW w:w="4579" w:type="dxa"/>
          </w:tcPr>
          <w:p>
            <w:pPr>
              <w:jc w:val="left"/>
            </w:pPr>
            <w:r>
              <w:t xml:space="preserve">"Payment date"</w:t>
            </w:r>
          </w:p>
        </w:tc>
        <w:tc>
          <w:tcPr>
            <w:tcW w:w="648" w:type="dxa"/>
          </w:tcPr>
          <w:p>
            <w:pPr>
              <w:jc w:val="both"/>
            </w:pPr>
          </w:p>
        </w:tc>
        <w:tc>
          <w:tcPr>
            <w:tcW w:w="3254" w:type="dxa"/>
          </w:tcPr>
          <w:p>
            <w:pPr>
              <w:jc w:val="left"/>
            </w:pPr>
            <w:r>
              <w:t>Section 4‑1401</w:t>
            </w:r>
          </w:p>
        </w:tc>
      </w:tr>
      <w:tr>
        <w:trPr>
          <w:cantSplit/>
        </w:trPr>
        <w:tc>
          <w:tcPr>
            <w:tcW w:w="504" w:type="dxa"/>
          </w:tcPr>
          <w:p>
            <w:pPr>
              <w:jc w:val="both"/>
            </w:pPr>
          </w:p>
        </w:tc>
        <w:tc>
          <w:tcPr>
            <w:tcW w:w="4579" w:type="dxa"/>
          </w:tcPr>
          <w:p>
            <w:pPr>
              <w:jc w:val="left"/>
            </w:pPr>
            <w:r>
              <w:t xml:space="preserve">"Payment order"</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"Receiving bank"</w:t>
            </w:r>
          </w:p>
        </w:tc>
        <w:tc>
          <w:tcPr>
            <w:tcW w:w="648" w:type="dxa"/>
          </w:tcPr>
          <w:p>
            <w:pPr>
              <w:jc w:val="both"/>
            </w:pPr>
          </w:p>
        </w:tc>
        <w:tc>
          <w:tcPr>
            <w:tcW w:w="3254" w:type="dxa"/>
          </w:tcPr>
          <w:p>
            <w:pPr>
              <w:jc w:val="left"/>
            </w:pPr>
            <w:r>
              <w:t>Section 4‑1103</w:t>
            </w:r>
          </w:p>
        </w:tc>
      </w:tr>
      <w:tr>
        <w:trPr>
          <w:cantSplit/>
        </w:trPr>
        <w:tc>
          <w:tcPr>
            <w:tcW w:w="504" w:type="dxa"/>
          </w:tcPr>
          <w:p>
            <w:pPr>
              <w:jc w:val="both"/>
            </w:pPr>
          </w:p>
        </w:tc>
        <w:tc>
          <w:tcPr>
            <w:tcW w:w="4579" w:type="dxa"/>
          </w:tcPr>
          <w:p>
            <w:pPr>
              <w:jc w:val="left"/>
            </w:pPr>
            <w:r>
              <w:t xml:space="preserve">"Security procedure"</w:t>
            </w:r>
          </w:p>
        </w:tc>
        <w:tc>
          <w:tcPr>
            <w:tcW w:w="648" w:type="dxa"/>
          </w:tcPr>
          <w:p>
            <w:pPr>
              <w:jc w:val="both"/>
            </w:pPr>
          </w:p>
        </w:tc>
        <w:tc>
          <w:tcPr>
            <w:tcW w:w="3254" w:type="dxa"/>
          </w:tcPr>
          <w:p>
            <w:pPr>
              <w:jc w:val="left"/>
            </w:pPr>
            <w:r>
              <w:t>Section 4‑1201</w:t>
            </w:r>
          </w:p>
        </w:tc>
      </w:tr>
      <w:tr>
        <w:trPr>
          <w:cantSplit/>
        </w:trPr>
        <w:tc>
          <w:tcPr>
            <w:tcW w:w="504" w:type="dxa"/>
          </w:tcPr>
          <w:p>
            <w:pPr>
              <w:jc w:val="both"/>
            </w:pPr>
          </w:p>
        </w:tc>
        <w:tc>
          <w:tcPr>
            <w:tcW w:w="4579" w:type="dxa"/>
          </w:tcPr>
          <w:p>
            <w:pPr>
              <w:jc w:val="left"/>
            </w:pPr>
            <w:r>
              <w:t xml:space="preserve">"Sender"</w:t>
            </w:r>
          </w:p>
        </w:tc>
        <w:tc>
          <w:tcPr>
            <w:tcW w:w="648" w:type="dxa"/>
          </w:tcPr>
          <w:p>
            <w:pPr>
              <w:jc w:val="both"/>
            </w:pPr>
          </w:p>
        </w:tc>
        <w:tc>
          <w:tcPr>
            <w:tcW w:w="3254" w:type="dxa"/>
          </w:tcPr>
          <w:p>
            <w:pPr>
              <w:jc w:val="left"/>
            </w:pPr>
            <w:r>
              <w:t>Section 4‑1103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following definitions in </w:t>
      </w:r>
      <w:r>
        <w:t>Article 4</w:t>
      </w:r>
      <w:r>
        <w:t xml:space="preserve">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65"/>
        <w:gridCol w:w="662"/>
        <w:gridCol w:w="3269"/>
      </w:tblGrid>
      <w:tr>
        <w:trPr>
          <w:cantSplit/>
        </w:trPr>
        <w:tc>
          <w:tcPr>
            <w:tcW w:w="504" w:type="dxa"/>
          </w:tcPr>
          <w:p>
            <w:pPr>
              <w:jc w:val="both"/>
            </w:pPr>
          </w:p>
        </w:tc>
        <w:tc>
          <w:tcPr>
            <w:tcW w:w="4565" w:type="dxa"/>
          </w:tcPr>
          <w:p>
            <w:pPr>
              <w:jc w:val="left"/>
            </w:pPr>
            <w:r>
              <w:t xml:space="preserve">"Clearing house"</w:t>
            </w:r>
          </w:p>
        </w:tc>
        <w:tc>
          <w:tcPr>
            <w:tcW w:w="662" w:type="dxa"/>
          </w:tcPr>
          <w:p>
            <w:pPr>
              <w:jc w:val="both"/>
            </w:pPr>
          </w:p>
        </w:tc>
        <w:tc>
          <w:tcPr>
            <w:tcW w:w="3269" w:type="dxa"/>
          </w:tcPr>
          <w:p>
            <w:pPr>
              <w:jc w:val="left"/>
            </w:pPr>
            <w:r>
              <w:t>Section 4‑104</w:t>
            </w:r>
          </w:p>
        </w:tc>
      </w:tr>
      <w:tr>
        <w:trPr>
          <w:cantSplit/>
        </w:trPr>
        <w:tc>
          <w:tcPr>
            <w:tcW w:w="504" w:type="dxa"/>
          </w:tcPr>
          <w:p>
            <w:pPr>
              <w:jc w:val="both"/>
            </w:pPr>
          </w:p>
        </w:tc>
        <w:tc>
          <w:tcPr>
            <w:tcW w:w="4565" w:type="dxa"/>
          </w:tcPr>
          <w:p>
            <w:pPr>
              <w:jc w:val="left"/>
            </w:pPr>
            <w:r>
              <w:t xml:space="preserve">"Item"</w:t>
            </w:r>
          </w:p>
        </w:tc>
        <w:tc>
          <w:tcPr>
            <w:tcW w:w="662" w:type="dxa"/>
          </w:tcPr>
          <w:p>
            <w:pPr>
              <w:jc w:val="both"/>
            </w:pPr>
          </w:p>
        </w:tc>
        <w:tc>
          <w:tcPr>
            <w:tcW w:w="3269" w:type="dxa"/>
          </w:tcPr>
          <w:p>
            <w:pPr>
              <w:jc w:val="left"/>
            </w:pPr>
            <w:r>
              <w:t>Section 4‑104</w:t>
            </w:r>
          </w:p>
        </w:tc>
      </w:tr>
      <w:tr>
        <w:trPr>
          <w:cantSplit/>
        </w:trPr>
        <w:tc>
          <w:tcPr>
            <w:tcW w:w="504" w:type="dxa"/>
          </w:tcPr>
          <w:p>
            <w:pPr>
              <w:jc w:val="both"/>
            </w:pPr>
          </w:p>
        </w:tc>
        <w:tc>
          <w:tcPr>
            <w:tcW w:w="4565" w:type="dxa"/>
          </w:tcPr>
          <w:p>
            <w:pPr>
              <w:jc w:val="left"/>
            </w:pPr>
            <w:r>
              <w:t xml:space="preserve">"Suspends payments"</w:t>
            </w:r>
          </w:p>
        </w:tc>
        <w:tc>
          <w:tcPr>
            <w:tcW w:w="662" w:type="dxa"/>
          </w:tcPr>
          <w:p>
            <w:pPr>
              <w:jc w:val="both"/>
            </w:pPr>
          </w:p>
        </w:tc>
        <w:tc>
          <w:tcPr>
            <w:tcW w:w="3269"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§§17-19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§4-1105. Other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§4-1105. Other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§4-1105. OTHER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