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Account. "Account" means any deposit or credit account with a bank, including a demand, time, savings, passbook, share draft or like account, other than an account evidenced by a certificate of deposit.</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(b)</w:t>
        <w:t xml:space="preserve">.  </w:t>
      </w:r>
      <w:r>
        <w:rPr/>
      </w:r>
      <w:r>
        <w:t xml:space="preserve">Afternoon. "Afternoon" means the period of a day between noon and midnight.</w:t>
      </w:r>
    </w:p>
    <w:p>
      <w:pPr>
        <w:jc w:val="both"/>
        <w:spacing w:before="100" w:after="0"/>
        <w:ind w:start="720"/>
      </w:pPr>
      <w:r>
        <w:rPr/>
        <w:t>(c)</w:t>
        <w:t xml:space="preserve">.  </w:t>
      </w:r>
      <w:r>
        <w:rPr/>
      </w:r>
      <w:r>
        <w:t xml:space="preserve">Banking day. "Banking day" means the part of a day on which a bank is open to the public for carrying on substantially all of its banking functions.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(d)</w:t>
        <w:t xml:space="preserve">.  </w:t>
      </w:r>
      <w:r>
        <w:rPr/>
      </w:r>
      <w:r>
        <w:t xml:space="preserve">Clearinghouse.  "Clearinghouse" means an association of banks or other payors regularly clearing items.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(e)</w:t>
        <w:t xml:space="preserve">.  </w:t>
      </w:r>
      <w:r>
        <w:rPr/>
      </w:r>
      <w:r>
        <w:t xml:space="preserve">Customer. "Customer" means a person having an account with a bank or for whom a bank has agreed to collect items, including a bank that maintains an account at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(f)</w:t>
        <w:t xml:space="preserve">.  </w:t>
      </w:r>
      <w:r>
        <w:rPr/>
      </w:r>
      <w:r>
        <w:t xml:space="preserve">Documentary draft. "Documentary draft" means a draft to be presented for acceptance or payment if specified documents, certificated securities as defined in </w:t>
      </w:r>
      <w:r>
        <w:t>section 8‑1102</w:t>
      </w:r>
      <w:r>
        <w:t xml:space="preserve">, instructions for uncertificated securities as defined in </w:t>
      </w:r>
      <w:r>
        <w:t>section 8‑1102</w:t>
      </w:r>
      <w:r>
        <w:t xml:space="preserve">, or other certificates, statements or the like are to be received by the drawee or other payor before acceptance or payment of the draft.</w:t>
      </w:r>
      <w:r>
        <w:t xml:space="preserve">  </w:t>
      </w:r>
      <w:r xmlns:wp="http://schemas.openxmlformats.org/drawingml/2010/wordprocessingDrawing" xmlns:w15="http://schemas.microsoft.com/office/word/2012/wordml">
        <w:rPr>
          <w:rFonts w:ascii="Arial" w:hAnsi="Arial" w:cs="Arial"/>
          <w:sz w:val="22"/>
          <w:szCs w:val="22"/>
        </w:rPr>
        <w:t xml:space="preserve">[PL 1997, c. 429, Pt. C, §5 (AMD).]</w:t>
      </w:r>
    </w:p>
    <w:p>
      <w:pPr>
        <w:jc w:val="both"/>
        <w:spacing w:before="100" w:after="0"/>
        <w:ind w:start="720"/>
      </w:pPr>
      <w:r>
        <w:rPr/>
        <w:t>(f-1)</w:t>
        <w:t xml:space="preserve">.  </w:t>
      </w:r>
      <w:r>
        <w:rPr/>
      </w:r>
      <w:r>
        <w:t xml:space="preserve">Draft.  "Draft" means a draft as defined in </w:t>
      </w:r>
      <w:r>
        <w:t>section 3‑1104</w:t>
      </w:r>
      <w:r>
        <w:t xml:space="preserve"> or an item, other than an instrument, that is an order.</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(f-2)</w:t>
        <w:t xml:space="preserve">.  </w:t>
      </w:r>
      <w:r>
        <w:rPr/>
      </w:r>
      <w:r>
        <w:t xml:space="preserve">Drawee.  "Drawee"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(g)</w:t>
        <w:t xml:space="preserve">.  </w:t>
      </w:r>
      <w:r>
        <w:rPr/>
      </w:r>
      <w:r>
        <w:t xml:space="preserve">Item. "Item" means an instrument, promise or order to pay money handled by a bank for collection or payment.  The term does not include a payment order governed by </w:t>
      </w:r>
      <w:r>
        <w:t>Article 4‑A</w:t>
      </w:r>
      <w:r>
        <w:t xml:space="preserve"> or a credit or debit card slip.</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(h)</w:t>
        <w:t xml:space="preserve">.  </w:t>
      </w:r>
      <w:r>
        <w:rPr/>
      </w:r>
      <w:r>
        <w:t xml:space="preserve">Midnight deadline. "Midnight deadline" with respect to a bank is midnight on its next banking day following the banking day on which it receives the relevant item or notice or from which the time for taking action commences to run, whichever is later.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§9 (RP).]</w:t>
      </w:r>
    </w:p>
    <w:p>
      <w:pPr>
        <w:jc w:val="both"/>
        <w:spacing w:before="100" w:after="0"/>
        <w:ind w:start="720"/>
      </w:pPr>
      <w:r>
        <w:rPr/>
        <w:t>(j)</w:t>
        <w:t xml:space="preserve">.  </w:t>
      </w:r>
      <w:r>
        <w:rPr/>
      </w:r>
      <w:r>
        <w:t xml:space="preserve">Settle. "Settle" means to pay in cash, by clearinghouse settlement, in a charge or credit or by remittance, or otherwise as agreed. A settlement may be either provisional or final.</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(k)</w:t>
        <w:t xml:space="preserve">.  </w:t>
      </w:r>
      <w:r>
        <w:rPr/>
      </w:r>
      <w:r>
        <w:t xml:space="preserve">Suspends payments. "Suspends payments" with respect to a bank means that it has been closed by order of the supervisory authorities, that a public officer has been appointed to take it over, or that it ceases or refuses to make payments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§5 (AMD).]</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"Agreement for electronic presentment." </w:t>
            </w:r>
          </w:p>
        </w:tc>
        <w:tc>
          <w:tcPr>
            <w:tcW w:w="648" w:type="dxa"/>
          </w:tcPr>
          <w:p>
            <w:pPr>
              <w:jc w:val="both"/>
            </w:pPr>
          </w:p>
        </w:tc>
        <w:tc>
          <w:tcPr>
            <w:tcW w:w="3254" w:type="dxa"/>
          </w:tcPr>
          <w:p>
            <w:pPr>
              <w:jc w:val="left"/>
            </w:pPr>
            <w:r>
              <w:t>Section 4‑110</w:t>
            </w:r>
            <w:r>
              <w:t xml:space="preserve">.</w:t>
            </w:r>
          </w:p>
        </w:tc>
      </w:tr>
      <w:tr>
        <w:trPr>
          <w:cantSplit/>
        </w:trPr>
        <w:tc>
          <w:tcPr>
            <w:tcW w:w="504" w:type="dxa"/>
          </w:tcPr>
          <w:p>
            <w:pPr>
              <w:jc w:val="both"/>
            </w:pPr>
          </w:p>
        </w:tc>
        <w:tc>
          <w:tcPr>
            <w:tcW w:w="4579" w:type="dxa"/>
          </w:tcPr>
          <w:p>
            <w:pPr>
              <w:jc w:val="left"/>
            </w:pPr>
            <w:r>
              <w:t xml:space="preserve">"Bank."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"Collecting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"Depositary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"Payor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"Presenting bank." </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"Presentment notice."</w:t>
            </w:r>
          </w:p>
        </w:tc>
        <w:tc>
          <w:tcPr>
            <w:tcW w:w="648" w:type="dxa"/>
          </w:tcPr>
          <w:p>
            <w:pPr>
              <w:jc w:val="both"/>
            </w:pPr>
          </w:p>
        </w:tc>
        <w:tc>
          <w:tcPr>
            <w:tcW w:w="3254" w:type="dxa"/>
          </w:tcPr>
          <w:p>
            <w:pPr>
              <w:jc w:val="left"/>
            </w:pPr>
            <w:r>
              <w:t>Section 4‑110</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§9 (AMD).]</w:t>
      </w:r>
    </w:p>
    <w:p>
      <w:pPr>
        <w:jc w:val="both"/>
        <w:spacing w:before="100" w:after="0"/>
        <w:ind w:start="360"/>
        <w:ind w:firstLine="360"/>
      </w:pPr>
      <w:r>
        <w:rPr>
          <w:b/>
        </w:rPr>
        <w:t>(3)</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94"/>
        <w:gridCol w:w="648"/>
        <w:gridCol w:w="3254"/>
      </w:tblGrid>
      <w:tr>
        <w:trPr>
          <w:cantSplit/>
        </w:trPr>
        <w:tc>
          <w:tcPr>
            <w:tcW w:w="504" w:type="dxa"/>
          </w:tcPr>
          <w:p>
            <w:pPr>
              <w:jc w:val="both"/>
            </w:pPr>
          </w:p>
        </w:tc>
        <w:tc>
          <w:tcPr>
            <w:tcW w:w="4594" w:type="dxa"/>
          </w:tcPr>
          <w:p>
            <w:pPr>
              <w:jc w:val="left"/>
            </w:pPr>
            <w:r>
              <w:t xml:space="preserve">"Acceptance."</w:t>
            </w:r>
          </w:p>
        </w:tc>
        <w:tc>
          <w:tcPr>
            <w:tcW w:w="648" w:type="dxa"/>
          </w:tcPr>
          <w:p>
            <w:pPr>
              <w:jc w:val="both"/>
            </w:pPr>
          </w:p>
        </w:tc>
        <w:tc>
          <w:tcPr>
            <w:tcW w:w="3254" w:type="dxa"/>
          </w:tcPr>
          <w:p>
            <w:pPr>
              <w:jc w:val="left"/>
            </w:pPr>
            <w:r>
              <w:t>Section 3‑1409</w:t>
            </w:r>
            <w:r>
              <w:t xml:space="preserve">.</w:t>
            </w:r>
          </w:p>
        </w:tc>
      </w:tr>
      <w:tr>
        <w:trPr>
          <w:cantSplit/>
        </w:trPr>
        <w:tc>
          <w:tcPr>
            <w:tcW w:w="504" w:type="dxa"/>
          </w:tcPr>
          <w:p>
            <w:pPr>
              <w:jc w:val="both"/>
            </w:pPr>
          </w:p>
        </w:tc>
        <w:tc>
          <w:tcPr>
            <w:tcW w:w="4594" w:type="dxa"/>
          </w:tcPr>
          <w:p>
            <w:pPr>
              <w:jc w:val="left"/>
            </w:pPr>
            <w:r>
              <w:t xml:space="preserve">"Alteration." </w:t>
            </w:r>
          </w:p>
        </w:tc>
        <w:tc>
          <w:tcPr>
            <w:tcW w:w="648" w:type="dxa"/>
          </w:tcPr>
          <w:p>
            <w:pPr>
              <w:jc w:val="both"/>
            </w:pPr>
          </w:p>
        </w:tc>
        <w:tc>
          <w:tcPr>
            <w:tcW w:w="3254" w:type="dxa"/>
          </w:tcPr>
          <w:p>
            <w:pPr>
              <w:jc w:val="left"/>
            </w:pPr>
            <w:r>
              <w:t>Section 3‑1407</w:t>
            </w:r>
            <w:r>
              <w:t xml:space="preserve">.</w:t>
            </w:r>
          </w:p>
        </w:tc>
      </w:tr>
      <w:tr>
        <w:trPr>
          <w:cantSplit/>
        </w:trPr>
        <w:tc>
          <w:tcPr>
            <w:tcW w:w="504" w:type="dxa"/>
          </w:tcPr>
          <w:p>
            <w:pPr>
              <w:jc w:val="both"/>
            </w:pPr>
          </w:p>
        </w:tc>
        <w:tc>
          <w:tcPr>
            <w:tcW w:w="4594" w:type="dxa"/>
          </w:tcPr>
          <w:p>
            <w:pPr>
              <w:jc w:val="left"/>
            </w:pPr>
            <w:r>
              <w:t xml:space="preserve">"Cashier's check." </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"Certificate of deposit." </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"Certified Check."</w:t>
            </w:r>
          </w:p>
        </w:tc>
        <w:tc>
          <w:tcPr>
            <w:tcW w:w="648" w:type="dxa"/>
          </w:tcPr>
          <w:p>
            <w:pPr>
              <w:jc w:val="both"/>
            </w:pPr>
          </w:p>
        </w:tc>
        <w:tc>
          <w:tcPr>
            <w:tcW w:w="3254" w:type="dxa"/>
          </w:tcPr>
          <w:p>
            <w:pPr>
              <w:jc w:val="left"/>
            </w:pPr>
            <w:r>
              <w:t>Section 3‑1409</w:t>
            </w:r>
            <w:r>
              <w:t xml:space="preserve">.</w:t>
            </w:r>
          </w:p>
        </w:tc>
      </w:tr>
      <w:tr>
        <w:trPr>
          <w:cantSplit/>
        </w:trPr>
        <w:tc>
          <w:tcPr>
            <w:tcW w:w="504" w:type="dxa"/>
          </w:tcPr>
          <w:p>
            <w:pPr>
              <w:jc w:val="both"/>
            </w:pPr>
          </w:p>
        </w:tc>
        <w:tc>
          <w:tcPr>
            <w:tcW w:w="4594" w:type="dxa"/>
          </w:tcPr>
          <w:p>
            <w:pPr>
              <w:jc w:val="left"/>
            </w:pPr>
            <w:r>
              <w:t xml:space="preserve">"Check."</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"Demand draft."</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"Draft."</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"Holder in due course." </w:t>
            </w:r>
          </w:p>
        </w:tc>
        <w:tc>
          <w:tcPr>
            <w:tcW w:w="648" w:type="dxa"/>
          </w:tcPr>
          <w:p>
            <w:pPr>
              <w:jc w:val="both"/>
            </w:pPr>
          </w:p>
        </w:tc>
        <w:tc>
          <w:tcPr>
            <w:tcW w:w="3254" w:type="dxa"/>
          </w:tcPr>
          <w:p>
            <w:pPr>
              <w:jc w:val="left"/>
            </w:pPr>
            <w:r>
              <w:t>Section 3‑1102</w:t>
            </w:r>
            <w:r>
              <w:t xml:space="preserve">.</w:t>
            </w:r>
          </w:p>
        </w:tc>
      </w:tr>
      <w:tr>
        <w:trPr>
          <w:cantSplit/>
        </w:trPr>
        <w:tc>
          <w:tcPr>
            <w:tcW w:w="504" w:type="dxa"/>
          </w:tcPr>
          <w:p>
            <w:pPr>
              <w:jc w:val="both"/>
            </w:pPr>
          </w:p>
        </w:tc>
        <w:tc>
          <w:tcPr>
            <w:tcW w:w="4594" w:type="dxa"/>
          </w:tcPr>
          <w:p>
            <w:pPr>
              <w:jc w:val="left"/>
            </w:pPr>
            <w:r>
              <w:t xml:space="preserve">"Instrument."</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"Notice of dishonor."</w:t>
            </w:r>
          </w:p>
        </w:tc>
        <w:tc>
          <w:tcPr>
            <w:tcW w:w="648" w:type="dxa"/>
          </w:tcPr>
          <w:p>
            <w:pPr>
              <w:jc w:val="both"/>
            </w:pPr>
          </w:p>
        </w:tc>
        <w:tc>
          <w:tcPr>
            <w:tcW w:w="3254" w:type="dxa"/>
          </w:tcPr>
          <w:p>
            <w:pPr>
              <w:jc w:val="left"/>
            </w:pPr>
            <w:r>
              <w:t>Section 3‑1503</w:t>
            </w:r>
            <w:r>
              <w:t xml:space="preserve">.</w:t>
            </w:r>
          </w:p>
        </w:tc>
      </w:tr>
      <w:tr>
        <w:trPr>
          <w:cantSplit/>
        </w:trPr>
        <w:tc>
          <w:tcPr>
            <w:tcW w:w="504" w:type="dxa"/>
          </w:tcPr>
          <w:p>
            <w:pPr>
              <w:jc w:val="both"/>
            </w:pPr>
          </w:p>
        </w:tc>
        <w:tc>
          <w:tcPr>
            <w:tcW w:w="4594" w:type="dxa"/>
          </w:tcPr>
          <w:p>
            <w:pPr>
              <w:jc w:val="left"/>
            </w:pPr>
            <w:r>
              <w:t xml:space="preserve">"Order." </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"Ordinary care." </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"Person entitled to enforce."</w:t>
            </w:r>
          </w:p>
        </w:tc>
        <w:tc>
          <w:tcPr>
            <w:tcW w:w="648" w:type="dxa"/>
          </w:tcPr>
          <w:p>
            <w:pPr>
              <w:jc w:val="both"/>
            </w:pPr>
          </w:p>
        </w:tc>
        <w:tc>
          <w:tcPr>
            <w:tcW w:w="3254" w:type="dxa"/>
          </w:tcPr>
          <w:p>
            <w:pPr>
              <w:jc w:val="left"/>
            </w:pPr>
            <w:r>
              <w:t>Section 3‑1301</w:t>
            </w:r>
            <w:r>
              <w:t xml:space="preserve">.</w:t>
            </w:r>
          </w:p>
        </w:tc>
      </w:tr>
      <w:tr>
        <w:trPr>
          <w:cantSplit/>
        </w:trPr>
        <w:tc>
          <w:tcPr>
            <w:tcW w:w="504" w:type="dxa"/>
          </w:tcPr>
          <w:p>
            <w:pPr>
              <w:jc w:val="both"/>
            </w:pPr>
          </w:p>
        </w:tc>
        <w:tc>
          <w:tcPr>
            <w:tcW w:w="4594" w:type="dxa"/>
          </w:tcPr>
          <w:p>
            <w:pPr>
              <w:jc w:val="left"/>
            </w:pPr>
            <w:r>
              <w:t xml:space="preserve">"Presentment."</w:t>
            </w:r>
          </w:p>
        </w:tc>
        <w:tc>
          <w:tcPr>
            <w:tcW w:w="648" w:type="dxa"/>
          </w:tcPr>
          <w:p>
            <w:pPr>
              <w:jc w:val="both"/>
            </w:pPr>
          </w:p>
        </w:tc>
        <w:tc>
          <w:tcPr>
            <w:tcW w:w="3254" w:type="dxa"/>
          </w:tcPr>
          <w:p>
            <w:pPr>
              <w:jc w:val="left"/>
            </w:pPr>
            <w:r>
              <w:t>Section 3‑1501</w:t>
            </w:r>
            <w:r>
              <w:t xml:space="preserve">.</w:t>
            </w:r>
          </w:p>
        </w:tc>
      </w:tr>
      <w:tr>
        <w:trPr>
          <w:cantSplit/>
        </w:trPr>
        <w:tc>
          <w:tcPr>
            <w:tcW w:w="504" w:type="dxa"/>
          </w:tcPr>
          <w:p>
            <w:pPr>
              <w:jc w:val="both"/>
            </w:pPr>
          </w:p>
        </w:tc>
        <w:tc>
          <w:tcPr>
            <w:tcW w:w="4594" w:type="dxa"/>
          </w:tcPr>
          <w:p>
            <w:pPr>
              <w:jc w:val="left"/>
            </w:pPr>
            <w:r>
              <w:t xml:space="preserve">"Promise."</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"Prove."</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"Teller's check."</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"Unauthorized signature."</w:t>
            </w:r>
          </w:p>
        </w:tc>
        <w:tc>
          <w:tcPr>
            <w:tcW w:w="648" w:type="dxa"/>
          </w:tcPr>
          <w:p>
            <w:pPr>
              <w:jc w:val="both"/>
            </w:pPr>
          </w:p>
        </w:tc>
        <w:tc>
          <w:tcPr>
            <w:tcW w:w="3254" w:type="dxa"/>
          </w:tcPr>
          <w:p>
            <w:pPr>
              <w:jc w:val="left"/>
            </w:pPr>
            <w:r>
              <w:t>Section 3‑1403</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§9 (RPR); PL 2009, c. 652, Pt. A, §10 (AFF).]</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§B9 (AMD). PL 1997, c. 429, §C5 (AMD). PL 2003, c. 594, §9 (AMD). PL 2009, c. 324, Pt. B, §23 (AMD). PL 2009, c. 324, Pt. B, §48 (AFF). PL 2009, c. 325, Pt. B, §16 (AMD). PL 2009, c. 325, Pt. B, §27 (AFF). PL 2009, c. 652, Pt. A, §9 (AMD). PL 2009, c. 652,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§4-104.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§4-104.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