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§3-1604. Discharge by cancellation or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§3-1604. DISCHARGE BY CANCELLATION OR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