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2-721</w:t>
        <w:t xml:space="preserve">.  </w:t>
      </w:r>
      <w:r>
        <w:rPr>
          <w:b/>
        </w:rPr>
        <w:t xml:space="preserve">Remedies for fraud</w:t>
      </w:r>
    </w:p>
    <w:p>
      <w:pPr>
        <w:jc w:val="both"/>
        <w:spacing w:before="100" w:after="100"/>
        <w:ind w:start="360"/>
        <w:ind w:firstLine="360"/>
      </w:pPr>
      <w:r>
        <w:rPr/>
      </w:r>
      <w:r>
        <w:rPr/>
      </w:r>
      <w:r>
        <w:t xml:space="preserve">Remedies for material misrepresentation or fraud include all remedies available under this Article for nonfraudulent breach. Neither rescission or a claim for rescission of the contract for sale nor rejection or return of the goods shall bar or be deemed inconsistent with a claim for damages or other remedy.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§2-721. Remedies for fraud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§2-721. Remedies for fraud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§2-721. REMEDIES FOR FRAUD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