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2-602</w:t>
        <w:t xml:space="preserve">.  </w:t>
      </w:r>
      <w:r>
        <w:rPr>
          <w:b/>
        </w:rPr>
        <w:t xml:space="preserve">Manner and effect of rightful rejection</w:t>
      </w:r>
    </w:p>
    <w:p>
      <w:pPr>
        <w:jc w:val="both"/>
        <w:spacing w:before="100" w:after="100"/>
        <w:ind w:start="360"/>
        <w:ind w:firstLine="360"/>
      </w:pPr>
      <w:r>
        <w:rPr>
          <w:b/>
        </w:rPr>
        <w:t>(1)</w:t>
        <w:t xml:space="preserve">.  </w:t>
      </w:r>
      <w:r>
        <w:rPr>
          <w:b/>
        </w:rPr>
      </w:r>
      <w:r>
        <w:t xml:space="preserve"> </w:t>
      </w:r>
      <w:r>
        <w:t xml:space="preserve">Rejection of goods must be within a reasonable time after their delivery or tender.  It is ineffective unless the buyer seasonably notifies the seller.</w:t>
      </w:r>
    </w:p>
    <w:p>
      <w:pPr>
        <w:jc w:val="both"/>
        <w:spacing w:before="100" w:after="100"/>
        <w:ind w:start="360"/>
        <w:ind w:firstLine="360"/>
      </w:pPr>
      <w:r>
        <w:rPr>
          <w:b/>
        </w:rPr>
        <w:t>(2)</w:t>
        <w:t xml:space="preserve">.  </w:t>
      </w:r>
      <w:r>
        <w:rPr>
          <w:b/>
        </w:rPr>
      </w:r>
      <w:r>
        <w:t xml:space="preserve"> </w:t>
      </w:r>
      <w:r>
        <w:t xml:space="preserve">Subject to the provisions of </w:t>
      </w:r>
      <w:r>
        <w:t>sections 2‑603</w:t>
      </w:r>
      <w:r>
        <w:t xml:space="preserve"> and </w:t>
      </w:r>
      <w:r>
        <w:t>2‑604</w:t>
      </w:r>
      <w:r>
        <w:t xml:space="preserve"> on rejected goods,</w:t>
      </w:r>
    </w:p>
    <w:p>
      <w:pPr>
        <w:jc w:val="both"/>
        <w:spacing w:before="100" w:after="100"/>
        <w:ind w:start="720"/>
      </w:pPr>
      <w:r>
        <w:rPr/>
        <w:t>(a)</w:t>
        <w:t xml:space="preserve">.  </w:t>
      </w:r>
      <w:r>
        <w:rPr/>
      </w:r>
      <w:r>
        <w:t xml:space="preserve">After rejection any exercise of ownership by the buyer with respect to any commercial unit is wrongful as against the seller; and</w:t>
      </w:r>
    </w:p>
    <w:p>
      <w:pPr>
        <w:jc w:val="both"/>
        <w:spacing w:before="100" w:after="100"/>
        <w:ind w:start="720"/>
      </w:pPr>
      <w:r>
        <w:rPr/>
        <w:t>(b)</w:t>
        <w:t xml:space="preserve">.  </w:t>
      </w:r>
      <w:r>
        <w:rPr/>
      </w:r>
      <w:r>
        <w:t xml:space="preserve">If the buyer has before rejection taken physical possession of goods in which he does not have a security interest under the provisions of this Article (</w:t>
      </w:r>
      <w:r>
        <w:t>section 2‑711, subsection (3)</w:t>
      </w:r>
      <w:r>
        <w:t xml:space="preserve">), he is under a duty after rejection to hold them with reasonable care at the seller's disposition for a time sufficient to permit the seller to remove them; but</w:t>
      </w:r>
    </w:p>
    <w:p>
      <w:pPr>
        <w:jc w:val="both"/>
        <w:spacing w:before="100" w:after="100"/>
        <w:ind w:start="720"/>
      </w:pPr>
      <w:r>
        <w:rPr/>
        <w:t>(c)</w:t>
        <w:t xml:space="preserve">.  </w:t>
      </w:r>
      <w:r>
        <w:rPr/>
      </w:r>
      <w:r>
        <w:t xml:space="preserve">The buyer has no further obligations with regard to goods rightfully rejected.</w:t>
      </w:r>
    </w:p>
    <w:p>
      <w:pPr>
        <w:jc w:val="both"/>
        <w:spacing w:before="100" w:after="100"/>
        <w:ind w:start="360"/>
        <w:ind w:firstLine="360"/>
      </w:pPr>
      <w:r>
        <w:rPr>
          <w:b/>
        </w:rPr>
        <w:t>(3)</w:t>
        <w:t xml:space="preserve">.  </w:t>
      </w:r>
      <w:r>
        <w:rPr>
          <w:b/>
        </w:rPr>
      </w:r>
      <w:r>
        <w:t xml:space="preserve"> </w:t>
      </w:r>
      <w:r>
        <w:t xml:space="preserve">The seller's rights with respect to goods wrongfully rejected are governed by the provisions of this Article on seller's remedies in general (</w:t>
      </w:r>
      <w:r>
        <w:t>section 2‑703</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§2-602. Manner and effect of rightful rejection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§2-602. Manner and effect of rightful rejection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§2-602. MANNER AND EFFECT OF RIGHTFUL REJECTION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