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Power to transfer; good faith purchase of goods; "entrusting"</w:t>
      </w:r>
    </w:p>
    <w:p>
      <w:pPr>
        <w:jc w:val="both"/>
        <w:spacing w:before="100" w:after="100"/>
        <w:ind w:start="360"/>
        <w:ind w:firstLine="360"/>
      </w:pPr>
      <w:r>
        <w:rPr>
          <w:b/>
        </w:rPr>
        <w:t>(1)</w:t>
        <w:t xml:space="preserve">.  </w:t>
      </w:r>
      <w:r>
        <w:rPr>
          <w:b/>
        </w:rPr>
      </w:r>
      <w:r>
        <w:t xml:space="preserve"> </w:t>
      </w:r>
      <w:r>
        <w:t xml:space="preserve">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pPr>
        <w:jc w:val="both"/>
        <w:spacing w:before="100" w:after="100"/>
        <w:ind w:start="720"/>
      </w:pPr>
      <w:r>
        <w:rPr/>
        <w:t>(a)</w:t>
        <w:t xml:space="preserve">.  </w:t>
      </w:r>
      <w:r>
        <w:rPr/>
      </w:r>
      <w:r>
        <w:t xml:space="preserve">The transferor was deceived as to the identity of the purchaser; or</w:t>
      </w:r>
    </w:p>
    <w:p>
      <w:pPr>
        <w:jc w:val="both"/>
        <w:spacing w:before="100" w:after="100"/>
        <w:ind w:start="720"/>
      </w:pPr>
      <w:r>
        <w:rPr/>
        <w:t>(b)</w:t>
        <w:t xml:space="preserve">.  </w:t>
      </w:r>
      <w:r>
        <w:rPr/>
      </w:r>
      <w:r>
        <w:t xml:space="preserve">The delivery was in exchange for a check which is later dishonored; or</w:t>
      </w:r>
    </w:p>
    <w:p>
      <w:pPr>
        <w:jc w:val="both"/>
        <w:spacing w:before="100" w:after="100"/>
        <w:ind w:start="720"/>
      </w:pPr>
      <w:r>
        <w:rPr/>
        <w:t>(c)</w:t>
        <w:t xml:space="preserve">.  </w:t>
      </w:r>
      <w:r>
        <w:rPr/>
      </w:r>
      <w:r>
        <w:t xml:space="preserve">It was agreed that the transaction was to be a "cash sale"; or</w:t>
      </w:r>
    </w:p>
    <w:p>
      <w:pPr>
        <w:jc w:val="both"/>
        <w:spacing w:before="100" w:after="100"/>
        <w:ind w:start="720"/>
      </w:pPr>
      <w:r>
        <w:rPr/>
        <w:t>(d)</w:t>
        <w:t xml:space="preserve">.  </w:t>
      </w:r>
      <w:r>
        <w:rPr/>
      </w:r>
      <w:r>
        <w:t xml:space="preserve">The delivery was procured through fraud punishable as larcenous under the criminal law.</w:t>
      </w:r>
    </w:p>
    <w:p>
      <w:pPr>
        <w:jc w:val="both"/>
        <w:spacing w:before="100" w:after="100"/>
        <w:ind w:start="360"/>
        <w:ind w:firstLine="360"/>
      </w:pPr>
      <w:r>
        <w:rPr>
          <w:b/>
        </w:rPr>
        <w:t>(2)</w:t>
        <w:t xml:space="preserve">.  </w:t>
      </w:r>
      <w:r>
        <w:rPr>
          <w:b/>
        </w:rPr>
      </w:r>
      <w:r>
        <w:t xml:space="preserve"> </w:t>
      </w:r>
      <w:r>
        <w:t xml:space="preserve">Any entrusting of possession of goods to a merchant who deals in goods of that kind gives him power to transfer all rights of the entruster to a buyer in ordinary course of business.</w:t>
      </w:r>
    </w:p>
    <w:p>
      <w:pPr>
        <w:jc w:val="both"/>
        <w:spacing w:before="100" w:after="100"/>
        <w:ind w:start="360"/>
        <w:ind w:firstLine="360"/>
      </w:pPr>
      <w:r>
        <w:rPr>
          <w:b/>
        </w:rPr>
        <w:t>(3)</w:t>
        <w:t xml:space="preserve">.  </w:t>
      </w:r>
      <w:r>
        <w:rPr>
          <w:b/>
        </w:rPr>
      </w:r>
      <w:r>
        <w:t xml:space="preserve"> </w:t>
      </w:r>
      <w:r>
        <w:t xml:space="preserve">"Entrusting"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pPr>
        <w:jc w:val="both"/>
        <w:spacing w:before="100" w:after="0"/>
        <w:ind w:start="360"/>
        <w:ind w:firstLine="360"/>
      </w:pPr>
      <w:r>
        <w:rPr>
          <w:b/>
        </w:rPr>
        <w:t>(4)</w:t>
        <w:t xml:space="preserve">.  </w:t>
      </w:r>
      <w:r>
        <w:rPr>
          <w:b/>
        </w:rPr>
      </w:r>
      <w:r>
        <w:t xml:space="preserve"> </w:t>
      </w:r>
      <w:r>
        <w:t xml:space="preserve">The rights of other purchasers of goods and of lien creditors are governed by the Articles on secured transactions (</w:t>
      </w:r>
      <w:r>
        <w:t>Article 9‑A</w:t>
      </w:r>
      <w:r>
        <w:t xml:space="preserve">) and documents of title (</w:t>
      </w:r>
      <w:r>
        <w:t>Article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§9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§2 (AMD). PL 2009, c. 324, Pt. B, §9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§2-403. Power to transfer; good faith purchase of goods; "entrusting"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Power to transfer; good faith purchase of goods; "entrusting"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§2-403. POWER TO TRANSFER; GOOD FAITH PURCHASE OF GOODS; "ENTRUSTING"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