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§2-1517. Revocation of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§2-1517. Revocation of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§2-1517. REVOCATION OF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