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15-305</w:t>
        <w:t xml:space="preserve">.  </w:t>
      </w:r>
      <w:r>
        <w:rPr>
          <w:b/>
        </w:rPr>
        <w:t xml:space="preserve">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this Title as in effect on July 1, 2025 determines the priority of conflicting claims to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the priorities of claims to collateral were established before July 1, 2025, </w:t>
      </w:r>
      <w:r>
        <w:t>Article 9‑A</w:t>
      </w:r>
      <w:r>
        <w:t xml:space="preserve"> as in effect before July 1, 2025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On the adjustment date, to the extent the priorities determined by </w:t>
      </w:r>
      <w:r>
        <w:t>Article 9‑A</w:t>
      </w:r>
      <w:r>
        <w:t xml:space="preserve"> as in effect after July 1, 2025 modify the priorities established before July 1, 2025, the priorities of claims to </w:t>
      </w:r>
      <w:r>
        <w:t>Article 12</w:t>
      </w:r>
      <w:r>
        <w:t xml:space="preserve"> property established before July 1, 2025 cease to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§15-305.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§15-305.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§15-305.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