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9905</w:t>
        <w:t xml:space="preserve">.  </w:t>
      </w:r>
      <w:r>
        <w:rPr>
          <w:b/>
        </w:rPr>
        <w:t xml:space="preserve">Rulemaking</w:t>
      </w:r>
    </w:p>
    <w:p>
      <w:pPr>
        <w:jc w:val="both"/>
        <w:spacing w:before="100" w:after="100"/>
        <w:ind w:start="360"/>
        <w:ind w:firstLine="360"/>
      </w:pPr>
      <w:r>
        <w:rPr/>
      </w:r>
      <w:r>
        <w:rPr/>
      </w:r>
      <w:r>
        <w:t xml:space="preserve">The Secretary of State, in consultation with the Department of Professional and Financial Regulation, the Department of Economic and Community Development and the Department of Defense, Veterans and Emergency Management, Maine Emergency Management Agency, may adopt routine technical rules, as defined in </w:t>
      </w:r>
      <w:r>
        <w:t>Title 5, chapter 375, subchapter 2‑A</w:t>
      </w:r>
      <w:r>
        <w:t xml:space="preserve">, to implement the provisions of this chapter.  Notification and registration procedures adopted by rule must allow a person to obtain and complete any required forms using a publicly accessible website on the Internet.</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§9905.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§9905.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§9905.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