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Findings</w:t>
      </w:r>
    </w:p>
    <w:p>
      <w:pPr>
        <w:jc w:val="both"/>
        <w:spacing w:before="100" w:after="100"/>
        <w:ind w:start="360"/>
        <w:ind w:firstLine="360"/>
      </w:pPr>
      <w:r>
        <w:rPr/>
      </w:r>
      <w:r>
        <w:rPr/>
      </w:r>
      <w:r>
        <w:t xml:space="preserve">The Legislature finds that in times of emergency in this State, such as during or after a storm, flood, fire, earthquake, hurricane or other disaster, businesses from other states provide assistance by bringing in resources and personnel to assist the State with the often enormous and overwhelming task of cleaning up, restoring and repairing damaged buildings, equipment and property.  This provision of assistance may require out-of-state businesses, including out-of-state affiliates of businesses based in the State, to bring in resources, property or personnel that previously have had no connection to the State to perform activities in the State, including, but not limited to, repairing, renovating, installing, building, rendering services and engaging in other business activities, some of which may require that personnel from the businesses be located in the State for extended periods of time.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The Legislature further finds that, while these businesses are operating in the State providing assistance on a temporary basis solely for the purpose of helping the State recover from the disaster or emergency, these businesses and their employees should not be burdened by requirements for certain business and employee taxes as a result of such temporary activities.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To ensure that these businesses focus on responding quickly to the needs of the State and its citizens during a declared state disaster or emergency, the Legislature finds that it is appropriate to consider that such activity for a reasonable period of time during and after the disaster or emergency undertaken to repair and restore property and infrastructure in the State does not establish presence or residency in the State or constitute doing business in the State for purposes of subjecting the businesses to certain taxes or licensing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§9901.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