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9503</w:t>
        <w:t xml:space="preserve">.  </w:t>
      </w:r>
      <w:r>
        <w:rPr>
          <w:b/>
        </w:rPr>
        <w:t xml:space="preserve">Rules adopted by Secretary of State</w:t>
      </w:r>
    </w:p>
    <w:p>
      <w:pPr>
        <w:jc w:val="both"/>
        <w:spacing w:before="100" w:after="100"/>
        <w:ind w:start="360"/>
        <w:ind w:firstLine="360"/>
      </w:pPr>
      <w:r>
        <w:rPr/>
      </w:r>
      <w:r>
        <w:rPr/>
      </w:r>
      <w:r>
        <w:t xml:space="preserve">When a digital signature is used in a transaction involving a state agency, it must conform to rules adopted by the Secretary of State.  Rules adopted pursuant to this section are routine technical rules as defined in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762,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§9503. Rules adopted by Secretary of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§9503. Rules adopted by Secretary of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§9503. RULES ADOPTED BY SECRETARY OF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