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9046</w:t>
        <w:t xml:space="preserve">.  </w:t>
      </w:r>
      <w:r>
        <w:rPr>
          <w:b/>
        </w:rPr>
        <w:t xml:space="preserve">Complaint investigation</w:t>
      </w:r>
    </w:p>
    <w:p>
      <w:pPr>
        <w:jc w:val="both"/>
        <w:spacing w:before="100" w:after="100"/>
        <w:ind w:start="360"/>
        <w:ind w:firstLine="360"/>
      </w:pPr>
      <w:r>
        <w:rPr/>
      </w:r>
      <w:r>
        <w:rPr/>
      </w:r>
      <w:r>
        <w:t xml:space="preserve">Upon complaint by any person concerning an alleged violation of this chapter, the board may investigate and determine, or may cause to be investigated and determined, whether the unit complies with established rules.  The board shall notify the complainant of the complainant's right to relief under </w:t>
      </w:r>
      <w:r>
        <w:t>section 9011, subsection 4</w:t>
      </w:r>
      <w:r>
        <w:t xml:space="preserve">.  If the board determines the defect occurred in other similar manufactured housing, the board shall notify all ascertainable purchasers of the housing, in accordance with the records obtained from the manufacturer and dealer of their possible right of action under this subchapter.  Failure of the manufacturer, dealer or developer dealer to retain reasonable business records or to provide access to those records in response to a request by the board pursuant to this subchapter is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2017, c. 210,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 PL 2005, c. 344, §21 (AMD). PL 2017, c. 210, Pt. B,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§9046. Complaint investigation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§9046. Complaint investigation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§9046. COMPLAINT INVESTIGATION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