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Employees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Commissioner of Professional and Financial Regulation may appoint or remove for cause, with the advice of the board, an executive director who is the principal administrative and supervisory employee of the Department of Professional and Financial Regulation for the board. The executive director shall supervise the personnel employed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§2 (AMD).]</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1983, c. 553, §46 (AMD). PL 1985, c. 785, §B56 (AMD). PL 1987, c. 395, §A37 (AMD). PL 1993, c. 642, §11 (AMD). PL 1995, c. 502, §H13 (AMD). PL 1999, c. 687, §F2 (AMD). PL 2007, c. 402,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