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8005</w:t>
        <w:t xml:space="preserve">.  </w:t>
      </w:r>
      <w:r>
        <w:rPr>
          <w:b/>
        </w:rPr>
        <w:t xml:space="preserve">Compliance with support orders; license qualifications and conditions</w:t>
      </w:r>
    </w:p>
    <w:p>
      <w:pPr>
        <w:jc w:val="both"/>
        <w:spacing w:before="100" w:after="100"/>
        <w:ind w:start="360"/>
        <w:ind w:firstLine="360"/>
      </w:pPr>
      <w:r>
        <w:rPr/>
      </w:r>
      <w:r>
        <w:rPr/>
      </w:r>
      <w:r>
        <w:t xml:space="preserve">In addition to other qualifications for licensure or registration and conditions for continuing eligibility to hold a license as prescribed by the various acts of bureaus, boards or commissions that compose or are affiliated with the department, applicants for licensure or registration, licensees renewing their licenses and existing licensees must also comply with the requirements of </w:t>
      </w:r>
      <w:r>
        <w:t>Title 19‑A, section 2201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§7 (AMD);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§V1 (NEW). PL 1995, c. 694, §D7 (AMD).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§8005. Compliance with support orders; license qualifications and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§8005. Compliance with support orders; license qualifications and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§8005. COMPLIANCE WITH SUPPORT ORDERS; LICENSE QUALIFICATIONS AND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