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3323</w:t>
        <w:t xml:space="preserve">.  </w:t>
      </w:r>
      <w:r>
        <w:rPr>
          <w:b/>
        </w:rPr>
        <w:t xml:space="preserve">Producer's lien attached to processed agricultural goods</w:t>
      </w:r>
    </w:p>
    <w:p>
      <w:pPr>
        <w:jc w:val="both"/>
        <w:spacing w:before="100" w:after="100"/>
        <w:ind w:start="360"/>
        <w:ind w:firstLine="360"/>
      </w:pPr>
      <w:r>
        <w:rPr/>
      </w:r>
      <w:r>
        <w:rPr/>
      </w:r>
      <w:r>
        <w:t xml:space="preserve">A producer of potatoes that the producer grows, harvests and sells to any processor under contract, express or implied, has a lien upon the product and upon all processed or manufactured forms of potatoes for the producer's labor, care and expense in growing and harvesting the raw product.  The producer's lien attached to the finished product must be the full extent of the agreed price, if any, or the unpaid balance of the agreed price of the raw product delivered to the processor.  If there is no agreed price or a method for determining it that is agreed upon, the extent of the lien must be the full value of the raw product as of the date of delivery and must be determined by the commissioner upon notice and opportunity for a hearing, provided in a manner consistent with the provisions as to adjudicatory proceedings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[RR 2023, c. 2, Pt. C, §75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694, §190 (AMD). RR 2023, c. 2, Pt. C, §75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§3323. Producer's lien attached to processed agricultural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§3323. Producer's lien attached to processed agricultural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§3323. PRODUCER'S LIEN ATTACHED TO PROCESSED AGRICULTURAL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