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3268</w:t>
        <w:t xml:space="preserve">.  </w:t>
      </w:r>
      <w:r>
        <w:rPr>
          <w:b/>
        </w:rPr>
        <w:t xml:space="preserve">Action brought by labor organization</w:t>
      </w:r>
    </w:p>
    <w:p>
      <w:pPr>
        <w:jc w:val="both"/>
        <w:spacing w:before="100" w:after="100"/>
        <w:ind w:start="360"/>
        <w:ind w:firstLine="360"/>
      </w:pPr>
      <w:r>
        <w:rPr/>
      </w:r>
      <w:r>
        <w:rPr/>
      </w:r>
      <w:r>
        <w:t xml:space="preserve">No action brought by a labor organization under this chapter shall be settled, dismissed or disposed of without the approval of the court.</w:t>
      </w:r>
      <w:r>
        <w:t xml:space="preserve">  </w:t>
      </w:r>
      <w:r xmlns:wp="http://schemas.openxmlformats.org/drawingml/2010/wordprocessingDrawing" xmlns:w15="http://schemas.microsoft.com/office/word/2012/wordml">
        <w:rPr>
          <w:rFonts w:ascii="Arial" w:hAnsi="Arial" w:cs="Arial"/>
          <w:sz w:val="22"/>
          <w:szCs w:val="22"/>
        </w:rPr>
        <w:t xml:space="preserve">[PL 1973, c. 551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§3268. Action brought by labor organization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§3268. Action brought by labor organization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§3268. ACTION BROUGHT BY LABOR ORGANIZATION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