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§3262. Enforcement by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Enforcement by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§3262. ENFORCEMENT BY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