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3260</w:t>
        <w:t xml:space="preserve">.  </w:t>
      </w:r>
      <w:r>
        <w:rPr>
          <w:b/>
        </w:rPr>
        <w:t xml:space="preserve">Deficiency; judgment for balance</w:t>
      </w:r>
    </w:p>
    <w:p>
      <w:pPr>
        <w:jc w:val="both"/>
        <w:spacing w:before="100" w:after="100"/>
        <w:ind w:start="360"/>
        <w:ind w:firstLine="360"/>
      </w:pPr>
      <w:r>
        <w:rPr/>
      </w:r>
      <w:r>
        <w:rPr/>
      </w:r>
      <w:r>
        <w:t xml:space="preserve">If the proceeds of the sale after payment of costs and expenses of sale are insufficient to pay the lien claims and costs in full, the court may render judgment against the debtor in favor of each individual lienor for the balance of his claim and costs remaining unpaid, and may issue executions therefor. If the proceeds of sale, after the payment of costs and expenses of sale, are more than sufficient to pay the lien claims and all costs in full, the balance remaining shall be paid to the person or persons legally or equitably entitled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§3260. Deficiency; judgment for balance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§3260. Deficiency; judgment for balance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§3260. DEFICIENCY; JUDGMENT FOR BALANCE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