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In no case shall the total amount due from the owner to those performing or furnishing labor, materials or services without a contract with the owner exceed the balance due from the owner to the person with whom he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therein, notice may be given to the agent or to the owner at the place where he resides. If the notice provided by this subsection is given, the lien claimant must also comply with the notice requirements of </w:t>
      </w:r>
      <w:r>
        <w:t>section 3253</w:t>
      </w:r>
      <w:r>
        <w:t xml:space="preserve"> and commence the legal action required by </w:t>
      </w:r>
      <w:r>
        <w:t>subsection 1</w:t>
      </w:r>
      <w:r>
        <w:t xml:space="preserve"> to the extent that this compliance is required in order to preserve his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§3255. Liens preserved and enforced by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Liens preserved and enforced by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§3255. LIENS PRESERVED AND ENFORCED BY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