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§3253. Dissolution unless claim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Dissolution unless claim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§3253. DISSOLUTION UNLESS CLAIM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