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No sealer shall charge a fee provided by this section unless he has adequate equipment to test accurately and which equipment has been approved to perform the service rendered by the state sealer.</w:t>
      </w:r>
    </w:p>
    <w:p>
      <w:pPr>
        <w:jc w:val="both"/>
        <w:spacing w:before="100" w:after="100"/>
        <w:ind w:start="360"/>
        <w:ind w:firstLine="360"/>
      </w:pPr>
      <w:r>
        <w:rPr/>
      </w:r>
      <w:r>
        <w:rPr/>
      </w:r>
      <w:r>
        <w:t xml:space="preserve">The state sealer or sealers shall not charge a fee for testing or calibrating, weighing and measuring devices which have been calibrated or tested and approved within a period of 3 months from time of approval, provided the same are found to be correct, except fees for testing or calibrating retail vehicle tank metering devices tested or calibrated by a repairman in accordance with </w:t>
      </w:r>
      <w:r>
        <w:t>section 2654‑A</w:t>
      </w:r>
      <w:r>
        <w:t xml:space="preserve"> shall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1985, c. 33, §2 (AMD).]</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§2701.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§2701.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