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Handling of condemned devices; disposition</w:t>
      </w:r>
    </w:p>
    <w:p>
      <w:pPr>
        <w:jc w:val="both"/>
        <w:spacing w:before="100" w:after="100"/>
        <w:ind w:start="360"/>
        <w:ind w:firstLine="360"/>
      </w:pPr>
      <w:r>
        <w:rPr/>
      </w:r>
      <w:r>
        <w:rPr/>
      </w:r>
      <w:r>
        <w:t xml:space="preserve">A dealer or repairman who accepts weighing or measuring devices, which have been condemned by the state sealer in trade for new or used weighing or measuring devices, and which are intended to be dismantled or destroyed, upon receipt thereof, shall remove the condemned tags. Such condemned tags shall be returned to the state sealer within 10 days thereafter, with a statement describing the weighing or measuring device, giving the number of the weighing or measuring device, if obtainable, and the name and address of the former owner or user from whom it was received. There shall be furnished a statement of what disposition has been made of the weighing or measuring device.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§2652. Handling of condemned devices;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Handling of condemned devices;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§2652. HANDLING OF CONDEMNED DEVICES;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