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2551</w:t>
        <w:t xml:space="preserve">.  </w:t>
      </w:r>
      <w:r>
        <w:rPr>
          <w:b/>
        </w:rPr>
        <w:t xml:space="preserve">Required entries</w:t>
      </w:r>
    </w:p>
    <w:p>
      <w:pPr>
        <w:jc w:val="both"/>
        <w:spacing w:before="100" w:after="100"/>
        <w:ind w:start="360"/>
        <w:ind w:firstLine="360"/>
      </w:pPr>
      <w:r>
        <w:rPr/>
      </w:r>
      <w:r>
        <w:rPr/>
      </w:r>
      <w:r>
        <w:t xml:space="preserve">The weight certificate forms shall be approved by the state sealer and shall contain the following information: The date of issuance, the kind of property, produce, commodity or article weighed, the name of the declared owner or agent of the owner or of the consignee of the material weighed, the accurate weight of the material weighed, the means by which the material was being transported at the time it was weighed and such other available information as may be necessary to distinguish or identify the property, produce, commodity or article from others of like kind. Such weight certificate, when so made and properly signed and sealed, shall be prima facie evidence of the accuracy of the weights shown.</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§2551. Required entries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§2551. Required entries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§2551. REQUIRED ENTRIES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