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§2369. Transition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Transition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§2369. TRANSITION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