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Systems of weights and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Systems of weights and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§2351. SYSTEMS OF WEIGHTS AND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