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Maine Patent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§1921. MAINE PATENT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